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eastAsia="宋体"/>
          <w:b/>
          <w:sz w:val="44"/>
          <w:szCs w:val="44"/>
        </w:rPr>
      </w:pPr>
      <w:r>
        <w:rPr>
          <w:rFonts w:hint="eastAsia" w:ascii="宋体" w:hAnsi="宋体" w:eastAsia="宋体"/>
          <w:b/>
          <w:sz w:val="44"/>
          <w:szCs w:val="44"/>
        </w:rPr>
        <w:t>中共保定市徐水区委机构编制委员会办公室</w:t>
      </w:r>
    </w:p>
    <w:p>
      <w:pPr>
        <w:spacing w:line="360" w:lineRule="auto"/>
        <w:jc w:val="center"/>
        <w:rPr>
          <w:rFonts w:ascii="宋体" w:hAnsi="宋体" w:eastAsia="宋体"/>
          <w:b/>
          <w:sz w:val="44"/>
          <w:szCs w:val="44"/>
        </w:rPr>
      </w:pPr>
      <w:r>
        <w:rPr>
          <w:rFonts w:ascii="宋体" w:hAnsi="宋体" w:eastAsia="宋体"/>
          <w:b/>
          <w:sz w:val="44"/>
          <w:szCs w:val="44"/>
        </w:rPr>
        <w:t>2022年部门预算公开说明</w:t>
      </w:r>
    </w:p>
    <w:p>
      <w:pPr>
        <w:tabs>
          <w:tab w:val="left" w:pos="5274"/>
        </w:tabs>
        <w:spacing w:line="360" w:lineRule="auto"/>
        <w:ind w:firstLine="640" w:firstLineChars="200"/>
        <w:rPr>
          <w:rFonts w:ascii="仿宋" w:hAnsi="仿宋" w:eastAsia="仿宋"/>
          <w:sz w:val="32"/>
          <w:szCs w:val="32"/>
        </w:rPr>
      </w:pPr>
      <w:r>
        <w:rPr>
          <w:rFonts w:ascii="仿宋" w:hAnsi="仿宋" w:eastAsia="仿宋"/>
          <w:sz w:val="32"/>
          <w:szCs w:val="32"/>
        </w:rPr>
        <w:tab/>
      </w:r>
    </w:p>
    <w:p>
      <w:pPr>
        <w:spacing w:line="360" w:lineRule="auto"/>
        <w:ind w:firstLine="640" w:firstLineChars="200"/>
        <w:rPr>
          <w:rFonts w:ascii="仿宋" w:hAnsi="仿宋" w:eastAsia="仿宋"/>
          <w:sz w:val="32"/>
          <w:szCs w:val="32"/>
        </w:rPr>
      </w:pPr>
      <w:r>
        <w:rPr>
          <w:rFonts w:hint="eastAsia" w:ascii="仿宋" w:hAnsi="仿宋" w:eastAsia="仿宋"/>
          <w:sz w:val="32"/>
          <w:szCs w:val="32"/>
        </w:rPr>
        <w:t>按照《预算法》、《地方预决算公开操作规程》等文件规定，现将我部门预算信息公开如下：</w:t>
      </w:r>
    </w:p>
    <w:p>
      <w:pPr>
        <w:jc w:val="center"/>
        <w:outlineLvl w:val="0"/>
        <w:rPr>
          <w:rFonts w:ascii="方正小标宋_GBK" w:eastAsia="方正小标宋_GBK"/>
          <w:sz w:val="44"/>
        </w:rPr>
      </w:pPr>
      <w:r>
        <w:rPr>
          <w:rFonts w:hint="eastAsia" w:ascii="方正小标宋_GBK" w:eastAsia="方正小标宋_GBK"/>
          <w:sz w:val="44"/>
        </w:rPr>
        <w:t>第一部分</w:t>
      </w:r>
      <w:r>
        <w:rPr>
          <w:rFonts w:ascii="方正小标宋_GBK" w:eastAsia="方正小标宋_GBK"/>
          <w:sz w:val="44"/>
        </w:rPr>
        <w:t>:部门职责及机构设置情况</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一、部门职责</w:t>
      </w:r>
    </w:p>
    <w:p>
      <w:pPr>
        <w:spacing w:line="500" w:lineRule="exact"/>
        <w:ind w:firstLine="640" w:firstLineChars="200"/>
        <w:jc w:val="left"/>
        <w:rPr>
          <w:rFonts w:ascii="仿宋" w:hAnsi="仿宋" w:eastAsia="仿宋"/>
          <w:sz w:val="32"/>
          <w:szCs w:val="32"/>
        </w:rPr>
      </w:pPr>
      <w:r>
        <w:rPr>
          <w:rFonts w:hint="eastAsia" w:ascii="仿宋" w:hAnsi="仿宋" w:eastAsia="仿宋"/>
          <w:sz w:val="32"/>
          <w:szCs w:val="32"/>
        </w:rPr>
        <w:t>根据《中共保定市徐水区委机构编制委员会办公室职能配置、内设机构和人员编制规定》，</w:t>
      </w:r>
      <w:r>
        <w:rPr>
          <w:rFonts w:ascii="仿宋" w:hAnsi="仿宋" w:eastAsia="仿宋"/>
          <w:sz w:val="32"/>
          <w:szCs w:val="32"/>
        </w:rPr>
        <w:t xml:space="preserve"> 中共保定市徐水区委机构编制委员会办公室的主要职责是：</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一）贯彻落实党中央、省委、市委和区委关于行政管理体制和机构改革以及机构编制管理的政策法规；管理和指导区委、人大、政府、政协、监察委机关，各民主党派、人民团体机关以及全区事业单位的机构编制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二）组织拟订全区行政管理体制改革和区委、区政府机构改革方案并组织实施。审核区委、区政府各部门职能配置、内设机构、人员编制和领导职数以及全区乡（镇）机构改革方案；审核全区各级各类机关人员编制总额；指导协调乡（镇）行政管理体制和机构改革以及机构编制管理工作；研究推进机关后勤体制改革。</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（三）协调区委各部门、区政府各部门的职能配置及其调整；协调区委各部门之间、区政府各部门之间、区委各部门与区政府各部门之间的职责分工。</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（四）审核或审批区委、区政府各部门派出机构的职能配置、机构设置、人员编制和领导职数。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（五）审核区人大、区政协、区监察委和区级各民主党派、人民团体机关的职能配置、机构设置、人员编制和领导职数。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六）组织拟订全区事业单位管理体制和机构改革方案；审核或审批区委、区政府直属事业单位和区直部门所属事业单位的机构编制事宜；负责全区党政群机关统一社会信用代码赋码管理工作，负责全区事业单位法人登记管理和监督检查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（七）指导开发区（园区）行政管理体制改革工作；审核开发区（园区）职能配置、内设机构、人员编制和领导职数。</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（八）负责全区机构编制的总量控制和动态管理。会同有关部门负责机构编制实名制工作；负责乡（镇）、区直机关事业单位编制使用核准。建立健全机构编制部门与有关部门间的协调配合约束机制。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九）负责监督检查区级和乡（镇）级行政、事业单位管理体制和机构改革及机构编制执行情况的跟踪评估和监督检查。负责受理违反机构编制法规、纪律的检举、控告和投诉，对违反机构编制法规、纪律问题进行调查处理。</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（十）负责全区机构编制电子政务和信息化工作。负责全区机构编制统计工作；负责机构编制网站的建设管理工作；指导全区党政群机关、事业单位和其他非营利性单位网上名称管理工作。</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（十一）组织开展行政体制改革及机构编制管理创新基础性和前瞻性研究。</w:t>
      </w:r>
    </w:p>
    <w:p>
      <w:pPr>
        <w:spacing w:line="500" w:lineRule="exact"/>
        <w:ind w:firstLine="640" w:firstLineChars="200"/>
        <w:jc w:val="left"/>
        <w:rPr>
          <w:rFonts w:ascii="仿宋" w:hAnsi="仿宋" w:eastAsia="仿宋"/>
          <w:sz w:val="32"/>
          <w:szCs w:val="32"/>
        </w:rPr>
      </w:pPr>
      <w:r>
        <w:rPr>
          <w:rFonts w:ascii="仿宋" w:hAnsi="仿宋" w:eastAsia="仿宋"/>
          <w:sz w:val="32"/>
          <w:szCs w:val="32"/>
        </w:rPr>
        <w:t>（十二）完成区委、区政府和区委机构编制委员会交办的其他任务。</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二、机构设置</w:t>
      </w:r>
    </w:p>
    <w:tbl>
      <w:tblPr>
        <w:tblStyle w:val="5"/>
        <w:tblW w:w="1006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2692"/>
        <w:gridCol w:w="1701"/>
        <w:gridCol w:w="1418"/>
        <w:gridCol w:w="3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91" w:hRule="atLeast"/>
          <w:tblHeader/>
          <w:jc w:val="center"/>
        </w:trPr>
        <w:tc>
          <w:tcPr>
            <w:tcW w:w="992" w:type="dxa"/>
            <w:tcBorders>
              <w:top w:val="single" w:color="auto" w:sz="4" w:space="0"/>
              <w:left w:val="single" w:color="auto" w:sz="4" w:space="0"/>
              <w:bottom w:val="single" w:color="auto" w:sz="4" w:space="0"/>
            </w:tcBorders>
            <w:shd w:val="clear" w:color="auto" w:fill="auto"/>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序号</w:t>
            </w:r>
          </w:p>
        </w:tc>
        <w:tc>
          <w:tcPr>
            <w:tcW w:w="2692" w:type="dxa"/>
            <w:tcBorders>
              <w:bottom w:val="single" w:color="000000" w:sz="6"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单位名称</w:t>
            </w:r>
          </w:p>
        </w:tc>
        <w:tc>
          <w:tcPr>
            <w:tcW w:w="1701" w:type="dxa"/>
            <w:tcBorders>
              <w:bottom w:val="single" w:color="000000" w:sz="6"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单位性质</w:t>
            </w:r>
          </w:p>
        </w:tc>
        <w:tc>
          <w:tcPr>
            <w:tcW w:w="1418" w:type="dxa"/>
            <w:tcBorders>
              <w:bottom w:val="single" w:color="000000" w:sz="6"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单位规格</w:t>
            </w:r>
          </w:p>
        </w:tc>
        <w:tc>
          <w:tcPr>
            <w:tcW w:w="3260" w:type="dxa"/>
            <w:tcBorders>
              <w:bottom w:val="single" w:color="000000" w:sz="6" w:space="0"/>
            </w:tcBorders>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992" w:type="dxa"/>
            <w:tcBorders>
              <w:top w:val="single" w:color="auto" w:sz="4" w:space="0"/>
              <w:left w:val="single" w:color="auto" w:sz="4" w:space="0"/>
              <w:bottom w:val="single" w:color="auto" w:sz="4" w:space="0"/>
            </w:tcBorders>
            <w:shd w:val="clear" w:color="auto" w:fill="auto"/>
            <w:vAlign w:val="center"/>
          </w:tcPr>
          <w:p>
            <w:pPr>
              <w:jc w:val="center"/>
              <w:rPr>
                <w:rFonts w:ascii="仿宋_GB2312" w:hAnsi="仿宋" w:eastAsia="仿宋_GB2312"/>
                <w:bCs/>
                <w:sz w:val="24"/>
                <w:szCs w:val="24"/>
              </w:rPr>
            </w:pPr>
            <w:r>
              <w:rPr>
                <w:rFonts w:hint="eastAsia" w:ascii="仿宋_GB2312" w:hAnsi="仿宋" w:eastAsia="仿宋_GB2312"/>
                <w:bCs/>
                <w:sz w:val="24"/>
                <w:szCs w:val="24"/>
              </w:rPr>
              <w:t>1</w:t>
            </w:r>
          </w:p>
        </w:tc>
        <w:tc>
          <w:tcPr>
            <w:tcW w:w="2692" w:type="dxa"/>
            <w:tcBorders>
              <w:bottom w:val="single" w:color="auto" w:sz="4" w:space="0"/>
            </w:tcBorders>
            <w:vAlign w:val="center"/>
          </w:tcPr>
          <w:p>
            <w:pPr>
              <w:jc w:val="center"/>
              <w:rPr>
                <w:rFonts w:ascii="仿宋_GB2312" w:hAnsi="仿宋" w:eastAsia="仿宋_GB2312"/>
                <w:bCs/>
                <w:sz w:val="24"/>
                <w:szCs w:val="24"/>
              </w:rPr>
            </w:pPr>
            <w:r>
              <w:rPr>
                <w:rFonts w:hint="eastAsia" w:ascii="仿宋_GB2312" w:hAnsi="仿宋" w:eastAsia="仿宋_GB2312"/>
                <w:bCs/>
                <w:sz w:val="24"/>
                <w:szCs w:val="24"/>
              </w:rPr>
              <w:t>中共保定市徐水区委机构编制委员会办公室</w:t>
            </w:r>
          </w:p>
        </w:tc>
        <w:tc>
          <w:tcPr>
            <w:tcW w:w="1701" w:type="dxa"/>
            <w:vAlign w:val="center"/>
          </w:tcPr>
          <w:p>
            <w:pPr>
              <w:jc w:val="center"/>
              <w:rPr>
                <w:rFonts w:ascii="仿宋_GB2312" w:hAnsi="仿宋" w:eastAsia="仿宋_GB2312"/>
                <w:bCs/>
                <w:sz w:val="24"/>
                <w:szCs w:val="24"/>
              </w:rPr>
            </w:pPr>
            <w:r>
              <w:rPr>
                <w:rFonts w:hint="eastAsia" w:ascii="仿宋_GB2312" w:hAnsi="仿宋" w:eastAsia="仿宋_GB2312"/>
                <w:bCs/>
                <w:sz w:val="24"/>
                <w:szCs w:val="24"/>
              </w:rPr>
              <w:t>行政</w:t>
            </w:r>
          </w:p>
        </w:tc>
        <w:tc>
          <w:tcPr>
            <w:tcW w:w="1418" w:type="dxa"/>
            <w:vAlign w:val="center"/>
          </w:tcPr>
          <w:p>
            <w:pPr>
              <w:jc w:val="center"/>
              <w:rPr>
                <w:rFonts w:ascii="仿宋_GB2312" w:hAnsi="仿宋" w:eastAsia="仿宋_GB2312"/>
                <w:bCs/>
                <w:sz w:val="24"/>
                <w:szCs w:val="24"/>
              </w:rPr>
            </w:pPr>
            <w:r>
              <w:rPr>
                <w:rFonts w:hint="eastAsia" w:ascii="仿宋_GB2312" w:hAnsi="仿宋" w:eastAsia="仿宋_GB2312"/>
                <w:bCs/>
                <w:sz w:val="24"/>
                <w:szCs w:val="24"/>
              </w:rPr>
              <w:t>正科级</w:t>
            </w:r>
          </w:p>
        </w:tc>
        <w:tc>
          <w:tcPr>
            <w:tcW w:w="3260" w:type="dxa"/>
            <w:vAlign w:val="center"/>
          </w:tcPr>
          <w:p>
            <w:pPr>
              <w:jc w:val="center"/>
              <w:rPr>
                <w:rFonts w:ascii="仿宋_GB2312" w:hAnsi="仿宋" w:eastAsia="仿宋_GB2312"/>
                <w:bCs/>
                <w:sz w:val="24"/>
                <w:szCs w:val="24"/>
              </w:rPr>
            </w:pPr>
            <w:r>
              <w:rPr>
                <w:rFonts w:hint="eastAsia" w:ascii="仿宋_GB2312" w:hAnsi="仿宋" w:eastAsia="仿宋_GB2312"/>
                <w:bCs/>
                <w:sz w:val="24"/>
                <w:szCs w:val="24"/>
              </w:rPr>
              <w:t>财政拨款</w:t>
            </w:r>
          </w:p>
        </w:tc>
      </w:tr>
    </w:tbl>
    <w:p>
      <w:pPr>
        <w:jc w:val="center"/>
        <w:outlineLvl w:val="0"/>
        <w:rPr>
          <w:rFonts w:ascii="方正小标宋_GBK" w:eastAsia="方正小标宋_GBK"/>
          <w:sz w:val="44"/>
        </w:rPr>
      </w:pPr>
      <w:r>
        <w:rPr>
          <w:rFonts w:hint="eastAsia" w:ascii="方正小标宋_GBK" w:eastAsia="方正小标宋_GBK"/>
          <w:sz w:val="44"/>
        </w:rPr>
        <w:t>第二部分：部门预算安排的总体情况</w:t>
      </w:r>
      <w:r>
        <w:rPr>
          <w:rFonts w:ascii="方正小标宋_GBK" w:eastAsia="方正小标宋_GBK"/>
          <w:sz w:val="44"/>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按照预算管理有关规定，目前我区部门预算的编制实行综合预算制度，即全部收入和支出都反映</w:t>
      </w:r>
      <w:r>
        <w:rPr>
          <w:rFonts w:ascii="仿宋" w:hAnsi="仿宋" w:eastAsia="仿宋"/>
          <w:sz w:val="32"/>
          <w:szCs w:val="32"/>
        </w:rPr>
        <w:t>在</w:t>
      </w:r>
      <w:r>
        <w:rPr>
          <w:rFonts w:hint="eastAsia" w:ascii="仿宋" w:hAnsi="仿宋" w:eastAsia="仿宋"/>
          <w:sz w:val="32"/>
          <w:szCs w:val="32"/>
        </w:rPr>
        <w:t>预算中。我部门及所属事业单位的收支包含在部门预算中。</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一、收入说明</w:t>
      </w:r>
    </w:p>
    <w:p>
      <w:pPr>
        <w:spacing w:line="360" w:lineRule="auto"/>
        <w:ind w:firstLine="640" w:firstLineChars="200"/>
        <w:rPr>
          <w:rFonts w:ascii="仿宋" w:hAnsi="仿宋" w:eastAsia="仿宋"/>
          <w:sz w:val="32"/>
          <w:szCs w:val="32"/>
        </w:rPr>
      </w:pPr>
      <w:r>
        <w:rPr>
          <w:rFonts w:ascii="仿宋" w:hAnsi="仿宋" w:eastAsia="仿宋"/>
          <w:sz w:val="32"/>
          <w:szCs w:val="32"/>
        </w:rPr>
        <w:t>2022年预算收入为</w:t>
      </w:r>
      <w:r>
        <w:rPr>
          <w:rFonts w:hint="eastAsia" w:ascii="仿宋" w:hAnsi="仿宋" w:eastAsia="仿宋"/>
          <w:sz w:val="32"/>
          <w:szCs w:val="32"/>
        </w:rPr>
        <w:t>205.15</w:t>
      </w:r>
      <w:r>
        <w:rPr>
          <w:rFonts w:ascii="仿宋" w:hAnsi="仿宋" w:eastAsia="仿宋"/>
          <w:sz w:val="32"/>
          <w:szCs w:val="32"/>
        </w:rPr>
        <w:t>万元,其中：一般公共预算收入</w:t>
      </w:r>
      <w:r>
        <w:rPr>
          <w:rFonts w:hint="eastAsia" w:ascii="仿宋" w:hAnsi="仿宋" w:eastAsia="仿宋"/>
          <w:sz w:val="32"/>
          <w:szCs w:val="32"/>
        </w:rPr>
        <w:t>205.14</w:t>
      </w:r>
      <w:r>
        <w:rPr>
          <w:rFonts w:ascii="仿宋" w:hAnsi="仿宋" w:eastAsia="仿宋"/>
          <w:sz w:val="32"/>
          <w:szCs w:val="32"/>
        </w:rPr>
        <w:t>万元，基金预算收入</w:t>
      </w:r>
      <w:r>
        <w:rPr>
          <w:rFonts w:hint="eastAsia" w:ascii="仿宋" w:hAnsi="仿宋" w:eastAsia="仿宋"/>
          <w:sz w:val="32"/>
          <w:szCs w:val="32"/>
        </w:rPr>
        <w:t>0</w:t>
      </w:r>
      <w:r>
        <w:rPr>
          <w:rFonts w:ascii="仿宋" w:hAnsi="仿宋" w:eastAsia="仿宋"/>
          <w:sz w:val="32"/>
          <w:szCs w:val="32"/>
        </w:rPr>
        <w:t>万元，财政专户收入</w:t>
      </w:r>
      <w:r>
        <w:rPr>
          <w:rFonts w:hint="eastAsia" w:ascii="仿宋" w:hAnsi="仿宋" w:eastAsia="仿宋"/>
          <w:sz w:val="32"/>
          <w:szCs w:val="32"/>
        </w:rPr>
        <w:t>0</w:t>
      </w:r>
      <w:r>
        <w:rPr>
          <w:rFonts w:ascii="仿宋" w:hAnsi="仿宋" w:eastAsia="仿宋"/>
          <w:sz w:val="32"/>
          <w:szCs w:val="32"/>
        </w:rPr>
        <w:t>万元，其他来源收入</w:t>
      </w:r>
      <w:r>
        <w:rPr>
          <w:rFonts w:hint="eastAsia" w:ascii="仿宋" w:hAnsi="仿宋" w:eastAsia="仿宋"/>
          <w:sz w:val="32"/>
          <w:szCs w:val="32"/>
        </w:rPr>
        <w:t>0.01</w:t>
      </w:r>
      <w:r>
        <w:rPr>
          <w:rFonts w:ascii="仿宋" w:hAnsi="仿宋" w:eastAsia="仿宋"/>
          <w:sz w:val="32"/>
          <w:szCs w:val="32"/>
        </w:rPr>
        <w:t>万元。</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二、支出说明</w:t>
      </w:r>
    </w:p>
    <w:p>
      <w:pPr>
        <w:spacing w:line="360" w:lineRule="auto"/>
        <w:ind w:firstLine="640" w:firstLineChars="200"/>
        <w:rPr>
          <w:rFonts w:ascii="仿宋" w:hAnsi="仿宋" w:eastAsia="仿宋"/>
          <w:sz w:val="32"/>
          <w:szCs w:val="32"/>
        </w:rPr>
      </w:pPr>
      <w:r>
        <w:rPr>
          <w:rFonts w:ascii="仿宋" w:hAnsi="仿宋" w:eastAsia="仿宋"/>
          <w:sz w:val="32"/>
          <w:szCs w:val="32"/>
        </w:rPr>
        <w:t>2022年部门支出预算：</w:t>
      </w:r>
      <w:r>
        <w:rPr>
          <w:rFonts w:hint="eastAsia" w:ascii="仿宋" w:hAnsi="仿宋" w:eastAsia="仿宋"/>
          <w:sz w:val="32"/>
          <w:szCs w:val="32"/>
        </w:rPr>
        <w:t>205.15</w:t>
      </w:r>
      <w:r>
        <w:rPr>
          <w:rFonts w:ascii="仿宋" w:hAnsi="仿宋" w:eastAsia="仿宋"/>
          <w:sz w:val="32"/>
          <w:szCs w:val="32"/>
        </w:rPr>
        <w:t>万元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基本支出195.6万元</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    其中：人员经费</w:t>
      </w:r>
      <w:r>
        <w:rPr>
          <w:rFonts w:hint="eastAsia" w:ascii="仿宋" w:hAnsi="仿宋" w:eastAsia="仿宋"/>
          <w:sz w:val="32"/>
          <w:szCs w:val="32"/>
        </w:rPr>
        <w:t>169.29</w:t>
      </w:r>
      <w:r>
        <w:rPr>
          <w:rFonts w:ascii="仿宋" w:hAnsi="仿宋" w:eastAsia="仿宋"/>
          <w:sz w:val="32"/>
          <w:szCs w:val="32"/>
        </w:rPr>
        <w:t>万元</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          日常公用经费</w:t>
      </w:r>
      <w:r>
        <w:rPr>
          <w:rFonts w:hint="eastAsia" w:ascii="仿宋" w:hAnsi="仿宋" w:eastAsia="仿宋"/>
          <w:sz w:val="32"/>
          <w:szCs w:val="32"/>
        </w:rPr>
        <w:t>26.31</w:t>
      </w:r>
      <w:r>
        <w:rPr>
          <w:rFonts w:ascii="仿宋" w:hAnsi="仿宋" w:eastAsia="仿宋"/>
          <w:sz w:val="32"/>
          <w:szCs w:val="32"/>
        </w:rPr>
        <w:t>万元</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项目支出</w:t>
      </w:r>
      <w:r>
        <w:rPr>
          <w:rFonts w:ascii="仿宋" w:hAnsi="仿宋" w:eastAsia="仿宋"/>
          <w:sz w:val="32"/>
          <w:szCs w:val="32"/>
        </w:rPr>
        <w:t xml:space="preserve"> </w:t>
      </w:r>
      <w:r>
        <w:rPr>
          <w:rFonts w:hint="eastAsia" w:ascii="仿宋" w:hAnsi="仿宋" w:eastAsia="仿宋"/>
          <w:sz w:val="32"/>
          <w:szCs w:val="32"/>
        </w:rPr>
        <w:t>9.55</w:t>
      </w:r>
      <w:r>
        <w:rPr>
          <w:rFonts w:ascii="仿宋" w:hAnsi="仿宋" w:eastAsia="仿宋"/>
          <w:sz w:val="32"/>
          <w:szCs w:val="32"/>
        </w:rPr>
        <w:t>万元</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    其中：本级支出</w:t>
      </w:r>
      <w:r>
        <w:rPr>
          <w:rFonts w:hint="eastAsia" w:ascii="仿宋" w:hAnsi="仿宋" w:eastAsia="仿宋"/>
          <w:sz w:val="32"/>
          <w:szCs w:val="32"/>
        </w:rPr>
        <w:t>9.55</w:t>
      </w:r>
      <w:r>
        <w:rPr>
          <w:rFonts w:ascii="仿宋" w:hAnsi="仿宋" w:eastAsia="仿宋"/>
          <w:sz w:val="32"/>
          <w:szCs w:val="32"/>
        </w:rPr>
        <w:t>万元</w:t>
      </w:r>
    </w:p>
    <w:p>
      <w:pPr>
        <w:spacing w:line="360" w:lineRule="auto"/>
        <w:ind w:firstLine="643" w:firstLineChars="200"/>
        <w:rPr>
          <w:rFonts w:ascii="仿宋" w:hAnsi="仿宋" w:eastAsia="仿宋"/>
          <w:b/>
          <w:sz w:val="32"/>
          <w:szCs w:val="32"/>
        </w:rPr>
      </w:pPr>
      <w:r>
        <w:rPr>
          <w:rFonts w:hint="eastAsia" w:ascii="仿宋" w:hAnsi="仿宋" w:eastAsia="仿宋"/>
          <w:b/>
          <w:sz w:val="32"/>
          <w:szCs w:val="32"/>
        </w:rPr>
        <w:t>三、比上年增减情况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本年度预算收支安排205.15万元，较上年增加69.37</w:t>
      </w:r>
      <w:r>
        <w:rPr>
          <w:rFonts w:ascii="仿宋" w:hAnsi="仿宋" w:eastAsia="仿宋"/>
          <w:sz w:val="32"/>
          <w:szCs w:val="32"/>
        </w:rPr>
        <w:t>万元。其中:基本支出增加</w:t>
      </w:r>
      <w:r>
        <w:rPr>
          <w:rFonts w:hint="eastAsia" w:ascii="仿宋" w:hAnsi="仿宋" w:eastAsia="仿宋"/>
          <w:sz w:val="32"/>
          <w:szCs w:val="32"/>
        </w:rPr>
        <w:t>76.49</w:t>
      </w:r>
      <w:r>
        <w:rPr>
          <w:rFonts w:ascii="仿宋" w:hAnsi="仿宋" w:eastAsia="仿宋"/>
          <w:sz w:val="32"/>
          <w:szCs w:val="32"/>
        </w:rPr>
        <w:t>万元，主要原因是</w:t>
      </w:r>
      <w:r>
        <w:rPr>
          <w:rFonts w:hint="eastAsia" w:ascii="仿宋" w:hAnsi="仿宋" w:eastAsia="仿宋"/>
          <w:sz w:val="32"/>
          <w:szCs w:val="32"/>
        </w:rPr>
        <w:t>人员增加，人员经费支出增加</w:t>
      </w:r>
      <w:r>
        <w:rPr>
          <w:rFonts w:ascii="仿宋" w:hAnsi="仿宋" w:eastAsia="仿宋"/>
          <w:sz w:val="32"/>
          <w:szCs w:val="32"/>
        </w:rPr>
        <w:t>；项目支出增加</w:t>
      </w:r>
      <w:r>
        <w:rPr>
          <w:rFonts w:hint="eastAsia" w:ascii="仿宋" w:hAnsi="仿宋" w:eastAsia="仿宋"/>
          <w:sz w:val="32"/>
          <w:szCs w:val="32"/>
        </w:rPr>
        <w:t>2.43</w:t>
      </w:r>
      <w:r>
        <w:rPr>
          <w:rFonts w:ascii="仿宋" w:hAnsi="仿宋" w:eastAsia="仿宋"/>
          <w:sz w:val="32"/>
          <w:szCs w:val="32"/>
        </w:rPr>
        <w:t>万元，主要原因是</w:t>
      </w:r>
      <w:r>
        <w:rPr>
          <w:rFonts w:hint="eastAsia" w:ascii="仿宋" w:hAnsi="仿宋" w:eastAsia="仿宋"/>
          <w:sz w:val="32"/>
          <w:szCs w:val="32"/>
        </w:rPr>
        <w:t>业务量增加</w:t>
      </w:r>
      <w:r>
        <w:rPr>
          <w:rFonts w:ascii="仿宋" w:hAnsi="仿宋" w:eastAsia="仿宋"/>
          <w:sz w:val="32"/>
          <w:szCs w:val="32"/>
        </w:rPr>
        <w:t>。</w:t>
      </w:r>
    </w:p>
    <w:p>
      <w:pPr>
        <w:spacing w:line="360" w:lineRule="auto"/>
        <w:ind w:firstLine="640" w:firstLineChars="200"/>
        <w:rPr>
          <w:rFonts w:ascii="仿宋" w:hAnsi="仿宋" w:eastAsia="仿宋"/>
          <w:sz w:val="32"/>
          <w:szCs w:val="32"/>
        </w:rPr>
      </w:pPr>
    </w:p>
    <w:p>
      <w:pPr>
        <w:jc w:val="center"/>
        <w:outlineLvl w:val="0"/>
        <w:rPr>
          <w:rFonts w:ascii="方正小标宋_GBK" w:eastAsia="方正小标宋_GBK"/>
          <w:sz w:val="44"/>
        </w:rPr>
      </w:pPr>
      <w:r>
        <w:rPr>
          <w:rFonts w:hint="eastAsia" w:ascii="方正小标宋_GBK" w:eastAsia="方正小标宋_GBK"/>
          <w:sz w:val="44"/>
        </w:rPr>
        <w:t>第三部分：机关运行经费安排情况</w:t>
      </w:r>
    </w:p>
    <w:p>
      <w:pPr>
        <w:spacing w:line="360" w:lineRule="auto"/>
        <w:ind w:firstLine="640" w:firstLineChars="200"/>
        <w:rPr>
          <w:rFonts w:ascii="仿宋" w:hAnsi="仿宋" w:eastAsia="仿宋"/>
          <w:b/>
          <w:sz w:val="32"/>
          <w:szCs w:val="32"/>
        </w:rPr>
      </w:pPr>
      <w:r>
        <w:rPr>
          <w:rFonts w:ascii="仿宋" w:hAnsi="仿宋" w:eastAsia="仿宋"/>
          <w:sz w:val="32"/>
          <w:szCs w:val="32"/>
        </w:rPr>
        <w:t>2022年我部门机关运行经费安排</w:t>
      </w:r>
      <w:r>
        <w:rPr>
          <w:rFonts w:hint="eastAsia" w:ascii="仿宋" w:hAnsi="仿宋" w:eastAsia="仿宋"/>
          <w:sz w:val="32"/>
          <w:szCs w:val="32"/>
        </w:rPr>
        <w:t>26.31</w:t>
      </w:r>
      <w:r>
        <w:rPr>
          <w:rFonts w:ascii="仿宋" w:hAnsi="仿宋" w:eastAsia="仿宋"/>
          <w:sz w:val="32"/>
          <w:szCs w:val="32"/>
        </w:rPr>
        <w:t>万元，其中办公费</w:t>
      </w:r>
      <w:r>
        <w:rPr>
          <w:rFonts w:hint="eastAsia" w:ascii="仿宋" w:hAnsi="仿宋" w:eastAsia="仿宋"/>
          <w:sz w:val="32"/>
          <w:szCs w:val="32"/>
        </w:rPr>
        <w:t>9.48</w:t>
      </w:r>
      <w:r>
        <w:rPr>
          <w:rFonts w:ascii="仿宋" w:hAnsi="仿宋" w:eastAsia="仿宋"/>
          <w:sz w:val="32"/>
          <w:szCs w:val="32"/>
        </w:rPr>
        <w:t>万元，邮电费</w:t>
      </w:r>
      <w:r>
        <w:rPr>
          <w:rFonts w:hint="eastAsia" w:ascii="仿宋" w:hAnsi="仿宋" w:eastAsia="仿宋"/>
          <w:sz w:val="32"/>
          <w:szCs w:val="32"/>
        </w:rPr>
        <w:t>5.26</w:t>
      </w:r>
      <w:r>
        <w:rPr>
          <w:rFonts w:ascii="仿宋" w:hAnsi="仿宋" w:eastAsia="仿宋"/>
          <w:sz w:val="32"/>
          <w:szCs w:val="32"/>
        </w:rPr>
        <w:t>万元，工会经费、福利费</w:t>
      </w:r>
      <w:r>
        <w:rPr>
          <w:rFonts w:hint="eastAsia" w:ascii="仿宋" w:hAnsi="仿宋" w:eastAsia="仿宋"/>
          <w:sz w:val="32"/>
          <w:szCs w:val="32"/>
        </w:rPr>
        <w:t>2.34</w:t>
      </w:r>
      <w:r>
        <w:rPr>
          <w:rFonts w:ascii="仿宋" w:hAnsi="仿宋" w:eastAsia="仿宋"/>
          <w:sz w:val="32"/>
          <w:szCs w:val="32"/>
        </w:rPr>
        <w:t>万元，公务用车运行维护费</w:t>
      </w:r>
      <w:r>
        <w:rPr>
          <w:rFonts w:hint="eastAsia" w:ascii="仿宋" w:hAnsi="仿宋" w:eastAsia="仿宋"/>
          <w:sz w:val="32"/>
          <w:szCs w:val="32"/>
        </w:rPr>
        <w:t>2.43</w:t>
      </w:r>
      <w:r>
        <w:rPr>
          <w:rFonts w:ascii="仿宋" w:hAnsi="仿宋" w:eastAsia="仿宋"/>
          <w:sz w:val="32"/>
          <w:szCs w:val="32"/>
        </w:rPr>
        <w:t>万元</w:t>
      </w:r>
      <w:r>
        <w:rPr>
          <w:rFonts w:hint="eastAsia" w:ascii="仿宋" w:hAnsi="仿宋" w:eastAsia="仿宋"/>
          <w:sz w:val="32"/>
          <w:szCs w:val="32"/>
        </w:rPr>
        <w:t>，</w:t>
      </w:r>
      <w:r>
        <w:rPr>
          <w:rFonts w:ascii="仿宋" w:hAnsi="仿宋" w:eastAsia="仿宋"/>
          <w:sz w:val="32"/>
          <w:szCs w:val="32"/>
        </w:rPr>
        <w:t>其他支出</w:t>
      </w:r>
      <w:r>
        <w:rPr>
          <w:rFonts w:hint="eastAsia" w:ascii="仿宋" w:hAnsi="仿宋" w:eastAsia="仿宋"/>
          <w:sz w:val="32"/>
          <w:szCs w:val="32"/>
        </w:rPr>
        <w:t>6.8</w:t>
      </w:r>
      <w:r>
        <w:rPr>
          <w:rFonts w:ascii="仿宋" w:hAnsi="仿宋" w:eastAsia="仿宋"/>
          <w:sz w:val="32"/>
          <w:szCs w:val="32"/>
        </w:rPr>
        <w:t>万元。</w:t>
      </w:r>
    </w:p>
    <w:p>
      <w:pPr>
        <w:jc w:val="center"/>
        <w:outlineLvl w:val="0"/>
        <w:rPr>
          <w:rFonts w:ascii="方正小标宋_GBK" w:eastAsia="方正小标宋_GBK"/>
          <w:sz w:val="44"/>
        </w:rPr>
      </w:pPr>
      <w:r>
        <w:rPr>
          <w:rFonts w:hint="eastAsia" w:ascii="方正小标宋_GBK" w:eastAsia="方正小标宋_GBK"/>
          <w:sz w:val="44"/>
        </w:rPr>
        <w:t>第四部分：财政拨款“三公”经费预算情况及增减变化原因</w:t>
      </w:r>
    </w:p>
    <w:tbl>
      <w:tblPr>
        <w:tblStyle w:val="5"/>
        <w:tblW w:w="5000" w:type="pct"/>
        <w:tblInd w:w="0" w:type="dxa"/>
        <w:tblLayout w:type="autofit"/>
        <w:tblCellMar>
          <w:top w:w="0" w:type="dxa"/>
          <w:left w:w="108" w:type="dxa"/>
          <w:bottom w:w="0" w:type="dxa"/>
          <w:right w:w="108" w:type="dxa"/>
        </w:tblCellMar>
      </w:tblPr>
      <w:tblGrid>
        <w:gridCol w:w="9508"/>
      </w:tblGrid>
      <w:tr>
        <w:tblPrEx>
          <w:tblCellMar>
            <w:top w:w="0" w:type="dxa"/>
            <w:left w:w="108" w:type="dxa"/>
            <w:bottom w:w="0" w:type="dxa"/>
            <w:right w:w="108" w:type="dxa"/>
          </w:tblCellMar>
        </w:tblPrEx>
        <w:trPr>
          <w:trHeight w:val="405" w:hRule="atLeast"/>
        </w:trPr>
        <w:tc>
          <w:tcPr>
            <w:tcW w:w="5000" w:type="pct"/>
            <w:tcBorders>
              <w:top w:val="nil"/>
              <w:left w:val="nil"/>
              <w:bottom w:val="nil"/>
              <w:right w:val="nil"/>
            </w:tcBorders>
            <w:shd w:val="clear" w:color="auto" w:fill="auto"/>
            <w:noWrap/>
            <w:vAlign w:val="center"/>
          </w:tcPr>
          <w:tbl>
            <w:tblPr>
              <w:tblStyle w:val="5"/>
              <w:tblW w:w="0" w:type="auto"/>
              <w:jc w:val="center"/>
              <w:tblLayout w:type="autofit"/>
              <w:tblCellMar>
                <w:top w:w="0" w:type="dxa"/>
                <w:left w:w="108" w:type="dxa"/>
                <w:bottom w:w="0" w:type="dxa"/>
                <w:right w:w="108" w:type="dxa"/>
              </w:tblCellMar>
            </w:tblPr>
            <w:tblGrid>
              <w:gridCol w:w="2163"/>
              <w:gridCol w:w="1276"/>
              <w:gridCol w:w="1418"/>
              <w:gridCol w:w="836"/>
              <w:gridCol w:w="2397"/>
            </w:tblGrid>
            <w:tr>
              <w:tblPrEx>
                <w:tblCellMar>
                  <w:top w:w="0" w:type="dxa"/>
                  <w:left w:w="108" w:type="dxa"/>
                  <w:bottom w:w="0" w:type="dxa"/>
                  <w:right w:w="108" w:type="dxa"/>
                </w:tblCellMar>
              </w:tblPrEx>
              <w:trPr>
                <w:trHeight w:val="221" w:hRule="atLeast"/>
                <w:jc w:val="center"/>
              </w:trPr>
              <w:tc>
                <w:tcPr>
                  <w:tcW w:w="2163" w:type="dxa"/>
                  <w:tcBorders>
                    <w:top w:val="nil"/>
                    <w:left w:val="nil"/>
                    <w:bottom w:val="nil"/>
                    <w:right w:val="nil"/>
                  </w:tcBorders>
                  <w:vAlign w:val="center"/>
                </w:tcPr>
                <w:p>
                  <w:pPr>
                    <w:widowControl/>
                    <w:jc w:val="left"/>
                    <w:rPr>
                      <w:rFonts w:ascii="宋体" w:hAnsi="宋体" w:cs="宋体"/>
                      <w:kern w:val="0"/>
                      <w:sz w:val="24"/>
                      <w:szCs w:val="24"/>
                    </w:rPr>
                  </w:pPr>
                </w:p>
              </w:tc>
              <w:tc>
                <w:tcPr>
                  <w:tcW w:w="1276" w:type="dxa"/>
                  <w:tcBorders>
                    <w:top w:val="nil"/>
                    <w:left w:val="nil"/>
                    <w:bottom w:val="nil"/>
                    <w:right w:val="nil"/>
                  </w:tcBorders>
                  <w:vAlign w:val="center"/>
                </w:tcPr>
                <w:p>
                  <w:pPr>
                    <w:widowControl/>
                    <w:jc w:val="left"/>
                    <w:rPr>
                      <w:rFonts w:ascii="宋体" w:hAnsi="宋体" w:cs="宋体"/>
                      <w:kern w:val="0"/>
                      <w:sz w:val="24"/>
                      <w:szCs w:val="24"/>
                    </w:rPr>
                  </w:pPr>
                </w:p>
              </w:tc>
              <w:tc>
                <w:tcPr>
                  <w:tcW w:w="1418" w:type="dxa"/>
                  <w:tcBorders>
                    <w:top w:val="nil"/>
                    <w:left w:val="nil"/>
                    <w:bottom w:val="nil"/>
                    <w:right w:val="nil"/>
                  </w:tcBorders>
                  <w:vAlign w:val="center"/>
                </w:tcPr>
                <w:p>
                  <w:pPr>
                    <w:widowControl/>
                    <w:jc w:val="left"/>
                    <w:rPr>
                      <w:rFonts w:ascii="宋体" w:hAnsi="宋体" w:cs="宋体"/>
                      <w:kern w:val="0"/>
                      <w:sz w:val="24"/>
                      <w:szCs w:val="24"/>
                    </w:rPr>
                  </w:pPr>
                </w:p>
              </w:tc>
              <w:tc>
                <w:tcPr>
                  <w:tcW w:w="836" w:type="dxa"/>
                  <w:tcBorders>
                    <w:top w:val="nil"/>
                    <w:left w:val="nil"/>
                    <w:bottom w:val="nil"/>
                    <w:right w:val="nil"/>
                  </w:tcBorders>
                  <w:vAlign w:val="center"/>
                </w:tcPr>
                <w:p>
                  <w:pPr>
                    <w:widowControl/>
                    <w:jc w:val="left"/>
                    <w:rPr>
                      <w:rFonts w:ascii="宋体" w:hAnsi="宋体" w:cs="宋体"/>
                      <w:kern w:val="0"/>
                      <w:sz w:val="24"/>
                      <w:szCs w:val="24"/>
                    </w:rPr>
                  </w:pPr>
                </w:p>
              </w:tc>
              <w:tc>
                <w:tcPr>
                  <w:tcW w:w="2397" w:type="dxa"/>
                  <w:tcBorders>
                    <w:top w:val="nil"/>
                    <w:left w:val="nil"/>
                    <w:bottom w:val="nil"/>
                    <w:right w:val="nil"/>
                  </w:tcBorders>
                  <w:vAlign w:val="center"/>
                </w:tcPr>
                <w:p>
                  <w:pPr>
                    <w:widowControl/>
                    <w:jc w:val="right"/>
                    <w:rPr>
                      <w:rFonts w:ascii="宋体" w:hAnsi="宋体" w:cs="宋体"/>
                      <w:kern w:val="0"/>
                      <w:sz w:val="24"/>
                      <w:szCs w:val="24"/>
                    </w:rPr>
                  </w:pPr>
                  <w:r>
                    <w:rPr>
                      <w:rFonts w:hint="eastAsia" w:ascii="宋体" w:hAnsi="宋体" w:cs="宋体"/>
                      <w:kern w:val="0"/>
                      <w:sz w:val="24"/>
                      <w:szCs w:val="24"/>
                    </w:rPr>
                    <w:t>单位：万元</w:t>
                  </w:r>
                </w:p>
              </w:tc>
            </w:tr>
            <w:tr>
              <w:tblPrEx>
                <w:tblCellMar>
                  <w:top w:w="0" w:type="dxa"/>
                  <w:left w:w="108" w:type="dxa"/>
                  <w:bottom w:w="0" w:type="dxa"/>
                  <w:right w:w="108" w:type="dxa"/>
                </w:tblCellMar>
              </w:tblPrEx>
              <w:trPr>
                <w:trHeight w:val="285" w:hRule="atLeast"/>
                <w:jc w:val="center"/>
              </w:trPr>
              <w:tc>
                <w:tcPr>
                  <w:tcW w:w="216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项目名称</w:t>
                  </w:r>
                </w:p>
              </w:tc>
              <w:tc>
                <w:tcPr>
                  <w:tcW w:w="127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ascii="仿宋_GB2312" w:hAnsi="宋体" w:eastAsia="仿宋_GB2312" w:cs="宋体"/>
                      <w:b/>
                      <w:kern w:val="0"/>
                      <w:sz w:val="24"/>
                      <w:szCs w:val="24"/>
                    </w:rPr>
                    <w:t>2021</w:t>
                  </w:r>
                  <w:r>
                    <w:rPr>
                      <w:rFonts w:hint="eastAsia" w:ascii="仿宋_GB2312" w:hAnsi="宋体" w:eastAsia="仿宋_GB2312" w:cs="宋体"/>
                      <w:b/>
                      <w:kern w:val="0"/>
                      <w:sz w:val="24"/>
                      <w:szCs w:val="24"/>
                    </w:rPr>
                    <w:t>年度预算</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ascii="仿宋_GB2312" w:hAnsi="宋体" w:eastAsia="仿宋_GB2312" w:cs="宋体"/>
                      <w:b/>
                      <w:kern w:val="0"/>
                      <w:sz w:val="24"/>
                      <w:szCs w:val="24"/>
                    </w:rPr>
                    <w:t>2022</w:t>
                  </w:r>
                  <w:r>
                    <w:rPr>
                      <w:rFonts w:hint="eastAsia" w:ascii="仿宋_GB2312" w:hAnsi="宋体" w:eastAsia="仿宋_GB2312" w:cs="宋体"/>
                      <w:b/>
                      <w:kern w:val="0"/>
                      <w:sz w:val="24"/>
                      <w:szCs w:val="24"/>
                    </w:rPr>
                    <w:t>年度预算</w:t>
                  </w:r>
                </w:p>
              </w:tc>
              <w:tc>
                <w:tcPr>
                  <w:tcW w:w="836"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增减金额</w:t>
                  </w:r>
                </w:p>
              </w:tc>
              <w:tc>
                <w:tcPr>
                  <w:tcW w:w="2397" w:type="dxa"/>
                  <w:tcBorders>
                    <w:top w:val="single" w:color="auto" w:sz="4" w:space="0"/>
                    <w:left w:val="nil"/>
                    <w:bottom w:val="single" w:color="auto" w:sz="4" w:space="0"/>
                    <w:right w:val="single" w:color="auto" w:sz="4" w:space="0"/>
                  </w:tcBorders>
                  <w:vAlign w:val="center"/>
                </w:tcPr>
                <w:p>
                  <w:pPr>
                    <w:widowControl/>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变化原因</w:t>
                  </w:r>
                </w:p>
              </w:tc>
            </w:tr>
            <w:tr>
              <w:tblPrEx>
                <w:tblCellMar>
                  <w:top w:w="0" w:type="dxa"/>
                  <w:left w:w="108" w:type="dxa"/>
                  <w:bottom w:w="0" w:type="dxa"/>
                  <w:right w:w="108" w:type="dxa"/>
                </w:tblCellMar>
              </w:tblPrEx>
              <w:trPr>
                <w:trHeight w:val="285" w:hRule="atLeast"/>
                <w:jc w:val="center"/>
              </w:trPr>
              <w:tc>
                <w:tcPr>
                  <w:tcW w:w="216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因公出国经费</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83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239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无变化</w:t>
                  </w:r>
                </w:p>
              </w:tc>
            </w:tr>
            <w:tr>
              <w:tblPrEx>
                <w:tblCellMar>
                  <w:top w:w="0" w:type="dxa"/>
                  <w:left w:w="108" w:type="dxa"/>
                  <w:bottom w:w="0" w:type="dxa"/>
                  <w:right w:w="108" w:type="dxa"/>
                </w:tblCellMar>
              </w:tblPrEx>
              <w:trPr>
                <w:trHeight w:val="285" w:hRule="atLeast"/>
                <w:jc w:val="center"/>
              </w:trPr>
              <w:tc>
                <w:tcPr>
                  <w:tcW w:w="216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公务用车购置经费</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83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239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rPr>
                    <w:t>无变化</w:t>
                  </w:r>
                </w:p>
              </w:tc>
            </w:tr>
            <w:tr>
              <w:tblPrEx>
                <w:tblCellMar>
                  <w:top w:w="0" w:type="dxa"/>
                  <w:left w:w="108" w:type="dxa"/>
                  <w:bottom w:w="0" w:type="dxa"/>
                  <w:right w:w="108" w:type="dxa"/>
                </w:tblCellMar>
              </w:tblPrEx>
              <w:trPr>
                <w:trHeight w:val="570" w:hRule="atLeast"/>
                <w:jc w:val="center"/>
              </w:trPr>
              <w:tc>
                <w:tcPr>
                  <w:tcW w:w="216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公务用车运行经费</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6.1</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2.43</w:t>
                  </w:r>
                </w:p>
              </w:tc>
              <w:tc>
                <w:tcPr>
                  <w:tcW w:w="83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-3.67</w:t>
                  </w:r>
                </w:p>
              </w:tc>
              <w:tc>
                <w:tcPr>
                  <w:tcW w:w="2397" w:type="dxa"/>
                  <w:tcBorders>
                    <w:top w:val="nil"/>
                    <w:left w:val="nil"/>
                    <w:bottom w:val="single" w:color="auto" w:sz="4" w:space="0"/>
                    <w:right w:val="single" w:color="auto" w:sz="4" w:space="0"/>
                  </w:tcBorders>
                  <w:vAlign w:val="center"/>
                </w:tcPr>
                <w:p>
                  <w:pPr>
                    <w:widowControl/>
                    <w:jc w:val="left"/>
                    <w:rPr>
                      <w:rFonts w:hint="eastAsia" w:ascii="仿宋_GB2312" w:hAnsi="宋体" w:eastAsia="仿宋_GB2312" w:cs="宋体"/>
                      <w:kern w:val="0"/>
                      <w:sz w:val="24"/>
                      <w:szCs w:val="24"/>
                      <w:lang w:eastAsia="zh-CN"/>
                    </w:rPr>
                  </w:pPr>
                  <w:r>
                    <w:rPr>
                      <w:rFonts w:hint="eastAsia" w:ascii="仿宋_GB2312" w:hAnsi="宋体" w:eastAsia="仿宋_GB2312" w:cs="宋体"/>
                      <w:kern w:val="0"/>
                      <w:sz w:val="24"/>
                      <w:szCs w:val="24"/>
                      <w:lang w:eastAsia="zh-CN"/>
                    </w:rPr>
                    <w:t>落实勤俭节约各项规定</w:t>
                  </w:r>
                  <w:r>
                    <w:rPr>
                      <w:rFonts w:hint="eastAsia" w:ascii="仿宋_GB2312" w:hAnsi="宋体" w:eastAsia="仿宋_GB2312" w:cs="宋体"/>
                      <w:kern w:val="0"/>
                      <w:sz w:val="24"/>
                      <w:szCs w:val="24"/>
                    </w:rPr>
                    <w:t>，减少三公</w:t>
                  </w:r>
                  <w:r>
                    <w:rPr>
                      <w:rFonts w:hint="eastAsia" w:ascii="仿宋_GB2312" w:hAnsi="宋体" w:eastAsia="仿宋_GB2312" w:cs="宋体"/>
                      <w:kern w:val="0"/>
                      <w:sz w:val="24"/>
                      <w:szCs w:val="24"/>
                      <w:lang w:eastAsia="zh-CN"/>
                    </w:rPr>
                    <w:t>支出</w:t>
                  </w:r>
                </w:p>
              </w:tc>
            </w:tr>
            <w:tr>
              <w:tblPrEx>
                <w:tblCellMar>
                  <w:top w:w="0" w:type="dxa"/>
                  <w:left w:w="108" w:type="dxa"/>
                  <w:bottom w:w="0" w:type="dxa"/>
                  <w:right w:w="108" w:type="dxa"/>
                </w:tblCellMar>
              </w:tblPrEx>
              <w:trPr>
                <w:trHeight w:val="855" w:hRule="atLeast"/>
                <w:jc w:val="center"/>
              </w:trPr>
              <w:tc>
                <w:tcPr>
                  <w:tcW w:w="216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公务接待费支出</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0.2</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w:t>
                  </w:r>
                </w:p>
              </w:tc>
              <w:tc>
                <w:tcPr>
                  <w:tcW w:w="83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-0.2</w:t>
                  </w:r>
                </w:p>
              </w:tc>
              <w:tc>
                <w:tcPr>
                  <w:tcW w:w="239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落实勤俭节约各项规定</w:t>
                  </w:r>
                  <w:r>
                    <w:rPr>
                      <w:rFonts w:hint="eastAsia" w:ascii="仿宋_GB2312" w:hAnsi="宋体" w:eastAsia="仿宋_GB2312" w:cs="宋体"/>
                      <w:kern w:val="0"/>
                      <w:sz w:val="24"/>
                      <w:szCs w:val="24"/>
                    </w:rPr>
                    <w:t>，减少三公</w:t>
                  </w:r>
                  <w:r>
                    <w:rPr>
                      <w:rFonts w:hint="eastAsia" w:ascii="仿宋_GB2312" w:hAnsi="宋体" w:eastAsia="仿宋_GB2312" w:cs="宋体"/>
                      <w:kern w:val="0"/>
                      <w:sz w:val="24"/>
                      <w:szCs w:val="24"/>
                      <w:lang w:eastAsia="zh-CN"/>
                    </w:rPr>
                    <w:t>支出</w:t>
                  </w:r>
                </w:p>
              </w:tc>
            </w:tr>
            <w:tr>
              <w:tblPrEx>
                <w:tblCellMar>
                  <w:top w:w="0" w:type="dxa"/>
                  <w:left w:w="108" w:type="dxa"/>
                  <w:bottom w:w="0" w:type="dxa"/>
                  <w:right w:w="108" w:type="dxa"/>
                </w:tblCellMar>
              </w:tblPrEx>
              <w:trPr>
                <w:trHeight w:val="1140" w:hRule="atLeast"/>
                <w:jc w:val="center"/>
              </w:trPr>
              <w:tc>
                <w:tcPr>
                  <w:tcW w:w="2163" w:type="dxa"/>
                  <w:tcBorders>
                    <w:top w:val="nil"/>
                    <w:left w:val="single" w:color="auto" w:sz="4" w:space="0"/>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合计</w:t>
                  </w:r>
                </w:p>
              </w:tc>
              <w:tc>
                <w:tcPr>
                  <w:tcW w:w="127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6.3</w:t>
                  </w:r>
                </w:p>
              </w:tc>
              <w:tc>
                <w:tcPr>
                  <w:tcW w:w="1418"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2.43</w:t>
                  </w:r>
                </w:p>
              </w:tc>
              <w:tc>
                <w:tcPr>
                  <w:tcW w:w="836" w:type="dxa"/>
                  <w:tcBorders>
                    <w:top w:val="nil"/>
                    <w:left w:val="nil"/>
                    <w:bottom w:val="single" w:color="auto" w:sz="4" w:space="0"/>
                    <w:right w:val="single" w:color="auto" w:sz="4" w:space="0"/>
                  </w:tcBorders>
                  <w:vAlign w:val="center"/>
                </w:tcPr>
                <w:p>
                  <w:pPr>
                    <w:widowControl/>
                    <w:jc w:val="center"/>
                    <w:rPr>
                      <w:rFonts w:ascii="仿宋_GB2312" w:hAnsi="宋体" w:eastAsia="仿宋_GB2312" w:cs="宋体"/>
                      <w:kern w:val="0"/>
                      <w:sz w:val="24"/>
                      <w:szCs w:val="24"/>
                    </w:rPr>
                  </w:pPr>
                  <w:r>
                    <w:rPr>
                      <w:rFonts w:hint="eastAsia" w:ascii="仿宋_GB2312" w:hAnsi="宋体" w:eastAsia="仿宋_GB2312" w:cs="宋体"/>
                      <w:kern w:val="0"/>
                      <w:sz w:val="24"/>
                      <w:szCs w:val="24"/>
                    </w:rPr>
                    <w:t>-3.87</w:t>
                  </w:r>
                </w:p>
              </w:tc>
              <w:tc>
                <w:tcPr>
                  <w:tcW w:w="2397" w:type="dxa"/>
                  <w:tcBorders>
                    <w:top w:val="nil"/>
                    <w:left w:val="nil"/>
                    <w:bottom w:val="single" w:color="auto" w:sz="4" w:space="0"/>
                    <w:right w:val="single" w:color="auto" w:sz="4" w:space="0"/>
                  </w:tcBorders>
                  <w:vAlign w:val="center"/>
                </w:tcPr>
                <w:p>
                  <w:pPr>
                    <w:widowControl/>
                    <w:jc w:val="left"/>
                    <w:rPr>
                      <w:rFonts w:ascii="仿宋_GB2312" w:hAnsi="宋体" w:eastAsia="仿宋_GB2312" w:cs="宋体"/>
                      <w:kern w:val="0"/>
                      <w:sz w:val="24"/>
                      <w:szCs w:val="24"/>
                    </w:rPr>
                  </w:pPr>
                  <w:r>
                    <w:rPr>
                      <w:rFonts w:hint="eastAsia" w:ascii="仿宋_GB2312" w:hAnsi="宋体" w:eastAsia="仿宋_GB2312" w:cs="宋体"/>
                      <w:kern w:val="0"/>
                      <w:sz w:val="24"/>
                      <w:szCs w:val="24"/>
                      <w:lang w:eastAsia="zh-CN"/>
                    </w:rPr>
                    <w:t>落实勤俭节约各项规定</w:t>
                  </w:r>
                  <w:r>
                    <w:rPr>
                      <w:rFonts w:hint="eastAsia" w:ascii="仿宋_GB2312" w:hAnsi="宋体" w:eastAsia="仿宋_GB2312" w:cs="宋体"/>
                      <w:kern w:val="0"/>
                      <w:sz w:val="24"/>
                      <w:szCs w:val="24"/>
                    </w:rPr>
                    <w:t>，减少三公</w:t>
                  </w:r>
                  <w:r>
                    <w:rPr>
                      <w:rFonts w:hint="eastAsia" w:ascii="仿宋_GB2312" w:hAnsi="宋体" w:eastAsia="仿宋_GB2312" w:cs="宋体"/>
                      <w:kern w:val="0"/>
                      <w:sz w:val="24"/>
                      <w:szCs w:val="24"/>
                      <w:lang w:eastAsia="zh-CN"/>
                    </w:rPr>
                    <w:t>支出</w:t>
                  </w:r>
                  <w:bookmarkStart w:id="7" w:name="_GoBack"/>
                  <w:bookmarkEnd w:id="7"/>
                </w:p>
              </w:tc>
            </w:tr>
            <w:tr>
              <w:tblPrEx>
                <w:tblCellMar>
                  <w:top w:w="0" w:type="dxa"/>
                  <w:left w:w="108" w:type="dxa"/>
                  <w:bottom w:w="0" w:type="dxa"/>
                  <w:right w:w="108" w:type="dxa"/>
                </w:tblCellMar>
              </w:tblPrEx>
              <w:trPr>
                <w:trHeight w:val="285" w:hRule="atLeast"/>
                <w:jc w:val="center"/>
              </w:trPr>
              <w:tc>
                <w:tcPr>
                  <w:tcW w:w="2163" w:type="dxa"/>
                  <w:tcBorders>
                    <w:top w:val="nil"/>
                    <w:left w:val="nil"/>
                    <w:bottom w:val="nil"/>
                    <w:right w:val="nil"/>
                  </w:tcBorders>
                  <w:vAlign w:val="center"/>
                </w:tcPr>
                <w:p>
                  <w:pPr>
                    <w:widowControl/>
                    <w:jc w:val="left"/>
                    <w:rPr>
                      <w:rFonts w:ascii="宋体" w:hAnsi="宋体" w:cs="宋体"/>
                      <w:kern w:val="0"/>
                      <w:sz w:val="24"/>
                      <w:szCs w:val="24"/>
                    </w:rPr>
                  </w:pPr>
                </w:p>
              </w:tc>
              <w:tc>
                <w:tcPr>
                  <w:tcW w:w="1276" w:type="dxa"/>
                  <w:tcBorders>
                    <w:top w:val="nil"/>
                    <w:left w:val="nil"/>
                    <w:bottom w:val="nil"/>
                    <w:right w:val="nil"/>
                  </w:tcBorders>
                  <w:vAlign w:val="center"/>
                </w:tcPr>
                <w:p>
                  <w:pPr>
                    <w:widowControl/>
                    <w:jc w:val="left"/>
                    <w:rPr>
                      <w:rFonts w:ascii="宋体" w:hAnsi="宋体" w:cs="宋体"/>
                      <w:kern w:val="0"/>
                      <w:sz w:val="24"/>
                      <w:szCs w:val="24"/>
                    </w:rPr>
                  </w:pPr>
                </w:p>
              </w:tc>
              <w:tc>
                <w:tcPr>
                  <w:tcW w:w="1418" w:type="dxa"/>
                  <w:tcBorders>
                    <w:top w:val="nil"/>
                    <w:left w:val="nil"/>
                    <w:bottom w:val="nil"/>
                    <w:right w:val="nil"/>
                  </w:tcBorders>
                  <w:vAlign w:val="center"/>
                </w:tcPr>
                <w:p>
                  <w:pPr>
                    <w:widowControl/>
                    <w:jc w:val="left"/>
                    <w:rPr>
                      <w:rFonts w:ascii="宋体" w:hAnsi="宋体" w:cs="宋体"/>
                      <w:kern w:val="0"/>
                      <w:sz w:val="24"/>
                      <w:szCs w:val="24"/>
                    </w:rPr>
                  </w:pPr>
                </w:p>
              </w:tc>
              <w:tc>
                <w:tcPr>
                  <w:tcW w:w="836" w:type="dxa"/>
                  <w:tcBorders>
                    <w:top w:val="nil"/>
                    <w:left w:val="nil"/>
                    <w:bottom w:val="nil"/>
                    <w:right w:val="nil"/>
                  </w:tcBorders>
                  <w:vAlign w:val="center"/>
                </w:tcPr>
                <w:p>
                  <w:pPr>
                    <w:widowControl/>
                    <w:jc w:val="left"/>
                    <w:rPr>
                      <w:rFonts w:ascii="宋体" w:hAnsi="宋体" w:cs="宋体"/>
                      <w:kern w:val="0"/>
                      <w:sz w:val="24"/>
                      <w:szCs w:val="24"/>
                    </w:rPr>
                  </w:pPr>
                </w:p>
              </w:tc>
              <w:tc>
                <w:tcPr>
                  <w:tcW w:w="2397" w:type="dxa"/>
                  <w:tcBorders>
                    <w:top w:val="nil"/>
                    <w:left w:val="nil"/>
                    <w:bottom w:val="nil"/>
                    <w:right w:val="nil"/>
                  </w:tcBorders>
                  <w:vAlign w:val="center"/>
                </w:tcPr>
                <w:p>
                  <w:pPr>
                    <w:widowControl/>
                    <w:jc w:val="left"/>
                    <w:rPr>
                      <w:rFonts w:ascii="宋体" w:hAnsi="宋体" w:cs="宋体"/>
                      <w:kern w:val="0"/>
                      <w:sz w:val="24"/>
                      <w:szCs w:val="24"/>
                    </w:rPr>
                  </w:pPr>
                </w:p>
              </w:tc>
            </w:tr>
          </w:tbl>
          <w:p>
            <w:pPr>
              <w:widowControl/>
              <w:spacing w:line="520" w:lineRule="exact"/>
              <w:ind w:right="480"/>
              <w:rPr>
                <w:rFonts w:ascii="仿宋" w:hAnsi="仿宋" w:eastAsia="仿宋" w:cs="宋体"/>
                <w:kern w:val="0"/>
                <w:sz w:val="24"/>
                <w:szCs w:val="24"/>
              </w:rPr>
            </w:pPr>
          </w:p>
        </w:tc>
      </w:tr>
    </w:tbl>
    <w:p>
      <w:pPr>
        <w:jc w:val="center"/>
        <w:outlineLvl w:val="0"/>
        <w:rPr>
          <w:rFonts w:ascii="方正小标宋_GBK" w:eastAsia="方正小标宋_GBK"/>
          <w:sz w:val="44"/>
        </w:rPr>
      </w:pPr>
      <w:r>
        <w:rPr>
          <w:rFonts w:hint="eastAsia" w:ascii="方正小标宋_GBK" w:eastAsia="方正小标宋_GBK"/>
          <w:sz w:val="44"/>
        </w:rPr>
        <w:t>第五部分：预算绩效信息</w:t>
      </w:r>
    </w:p>
    <w:p>
      <w:pPr>
        <w:jc w:val="center"/>
        <w:outlineLvl w:val="0"/>
        <w:rPr>
          <w:rFonts w:ascii="方正小标宋_GBK" w:eastAsia="方正小标宋_GBK"/>
          <w:sz w:val="44"/>
        </w:rPr>
      </w:pPr>
      <w:r>
        <w:rPr>
          <w:rFonts w:hint="eastAsia" w:ascii="方正小标宋_GBK" w:eastAsia="方正小标宋_GBK"/>
          <w:sz w:val="44"/>
        </w:rPr>
        <w:t>部门整体</w:t>
      </w:r>
      <w:r>
        <w:rPr>
          <w:rFonts w:ascii="方正小标宋_GBK" w:eastAsia="方正小标宋_GBK"/>
          <w:sz w:val="44"/>
        </w:rPr>
        <w:t>绩效目标</w:t>
      </w:r>
    </w:p>
    <w:p>
      <w:pPr>
        <w:spacing w:before="10" w:after="10"/>
        <w:ind w:firstLine="560"/>
        <w:outlineLvl w:val="1"/>
        <w:rPr>
          <w:rFonts w:ascii="仿宋" w:hAnsi="仿宋" w:eastAsia="仿宋"/>
          <w:sz w:val="32"/>
          <w:szCs w:val="32"/>
        </w:rPr>
      </w:pPr>
      <w:bookmarkStart w:id="0" w:name="_Toc_2_2_0000000001"/>
      <w:r>
        <w:rPr>
          <w:rFonts w:ascii="仿宋" w:hAnsi="仿宋" w:eastAsia="仿宋"/>
          <w:sz w:val="32"/>
          <w:szCs w:val="32"/>
        </w:rPr>
        <w:t>一、总体绩效目标</w:t>
      </w:r>
      <w:bookmarkEnd w:id="0"/>
    </w:p>
    <w:p>
      <w:pPr>
        <w:pStyle w:val="10"/>
        <w:rPr>
          <w:rFonts w:ascii="仿宋" w:hAnsi="仿宋" w:eastAsia="仿宋" w:cstheme="minorBidi"/>
          <w:kern w:val="2"/>
          <w:sz w:val="32"/>
          <w:szCs w:val="32"/>
          <w:lang w:eastAsia="zh-CN"/>
        </w:rPr>
      </w:pPr>
      <w:r>
        <w:rPr>
          <w:rFonts w:ascii="仿宋" w:hAnsi="仿宋" w:eastAsia="仿宋" w:cstheme="minorBidi"/>
          <w:kern w:val="2"/>
          <w:sz w:val="32"/>
          <w:szCs w:val="32"/>
          <w:lang w:eastAsia="zh-CN"/>
        </w:rPr>
        <w:t>坚持以习近平新时代中国特色社会主义思想为指导，深入贯彻十九大和十九届二中、三中、四中、五中、六中全会精神。认真贯彻落实新时代中央、省委关于机构编制工作的决策部署，以推进国家治理体系和治理能力现代化为导向，以落实和加强党的全面领导为统领，进一步优化部门职责配置，促进党和国家机构设置更加协同高效，实现权责一致、履职到位、流程顺畅，进一步推进机构编制科学化规范化法定化。建立一条快速、准确访问政务部门和公益机构网站的绿色通道，推动政务公开和电子政务的发展。</w:t>
      </w:r>
    </w:p>
    <w:p>
      <w:pPr>
        <w:spacing w:before="10" w:after="10"/>
        <w:ind w:firstLine="560"/>
        <w:outlineLvl w:val="1"/>
        <w:rPr>
          <w:rFonts w:ascii="仿宋" w:hAnsi="仿宋" w:eastAsia="仿宋"/>
          <w:sz w:val="32"/>
          <w:szCs w:val="32"/>
        </w:rPr>
      </w:pPr>
      <w:bookmarkStart w:id="1" w:name="_Toc_2_2_0000000002"/>
      <w:r>
        <w:rPr>
          <w:rFonts w:ascii="仿宋" w:hAnsi="仿宋" w:eastAsia="仿宋"/>
          <w:sz w:val="32"/>
          <w:szCs w:val="32"/>
        </w:rPr>
        <w:t>二、分项绩效目标</w:t>
      </w:r>
      <w:bookmarkEnd w:id="1"/>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1.电子政务建设更加规范</w:t>
      </w:r>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绩效目标：建立一条快速、准确访问政务部门和公益机构网站的绿色通道，推动政务公开和电子政务的发展。</w:t>
      </w:r>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绩效指标：深入推进网络信息安全和电子政务建设，党政群机关和事业单位以单位名称注册中文域名。4月份之前完成100%。</w:t>
      </w:r>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2.机构编制管理更加规范高效</w:t>
      </w:r>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绩效目标：完成全区机构编制信息管理系统，做好机构编制统计，数据分析。实现区本级部门用编申请、出入编业务网上办理。机构编制信息管理平台建设逐步完善，落实实名制数据月报制度。</w:t>
      </w:r>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绩效指标：完成各项综合事务完成占年度工作总量的比例达到100%。接受服务的各行政、事业单位对服务质量的满意度达到95%。区直有关部门职能配置、内设机构和人员编制得到优化，区直部门领导职数配备进一步规范。按时完成机构改革任务。综合行政执法队伍种类和层级减少、执法力量下沉，基层社会治理体系逐步健全完善，开发区各项自主权得到有效落实。</w:t>
      </w:r>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3.行政管理体制协调发展</w:t>
      </w:r>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绩效目标：大力推进事业单位整合精简，机构设置规范、职能定位明确，服务能力和水平大幅提升。事业单位信用体系建设加快推进，信息共享和协同监管明显加强。</w:t>
      </w:r>
    </w:p>
    <w:p>
      <w:pPr>
        <w:pStyle w:val="11"/>
        <w:rPr>
          <w:rFonts w:ascii="仿宋" w:hAnsi="仿宋" w:eastAsia="仿宋" w:cstheme="minorBidi"/>
          <w:kern w:val="2"/>
          <w:sz w:val="32"/>
          <w:szCs w:val="32"/>
          <w:lang w:eastAsia="zh-CN"/>
        </w:rPr>
      </w:pPr>
      <w:r>
        <w:rPr>
          <w:rFonts w:ascii="仿宋" w:hAnsi="仿宋" w:eastAsia="仿宋" w:cstheme="minorBidi"/>
          <w:kern w:val="2"/>
          <w:sz w:val="32"/>
          <w:szCs w:val="32"/>
          <w:lang w:eastAsia="zh-CN"/>
        </w:rPr>
        <w:t>绩效指标：2020年底，基本完成事业单位布局结构调整任务，改革完成率达到90%；事业单位“双随机、一公开”监管实现全覆盖、常态化。</w:t>
      </w:r>
    </w:p>
    <w:p>
      <w:pPr>
        <w:spacing w:before="10" w:after="10"/>
        <w:ind w:firstLine="560"/>
        <w:outlineLvl w:val="1"/>
        <w:rPr>
          <w:rFonts w:ascii="仿宋" w:hAnsi="仿宋" w:eastAsia="仿宋"/>
          <w:sz w:val="32"/>
          <w:szCs w:val="32"/>
        </w:rPr>
      </w:pPr>
      <w:bookmarkStart w:id="2" w:name="_Toc_2_2_0000000003"/>
      <w:r>
        <w:rPr>
          <w:rFonts w:ascii="仿宋" w:hAnsi="仿宋" w:eastAsia="仿宋"/>
          <w:sz w:val="32"/>
          <w:szCs w:val="32"/>
        </w:rPr>
        <w:t>三、工作保障措施</w:t>
      </w:r>
      <w:bookmarkEnd w:id="2"/>
    </w:p>
    <w:p>
      <w:pPr>
        <w:pStyle w:val="12"/>
        <w:rPr>
          <w:rFonts w:ascii="仿宋" w:hAnsi="仿宋" w:eastAsia="仿宋" w:cstheme="minorBidi"/>
          <w:kern w:val="2"/>
          <w:sz w:val="32"/>
          <w:szCs w:val="32"/>
          <w:lang w:eastAsia="zh-CN"/>
        </w:rPr>
      </w:pPr>
      <w:r>
        <w:rPr>
          <w:rFonts w:ascii="仿宋" w:hAnsi="仿宋" w:eastAsia="仿宋" w:cstheme="minorBidi"/>
          <w:kern w:val="2"/>
          <w:sz w:val="32"/>
          <w:szCs w:val="32"/>
          <w:lang w:eastAsia="zh-CN"/>
        </w:rPr>
        <w:t>1.加强组织领导，完善绩效制度。成立由编办主要领导同志任组长的预算绩效工作领导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w:t>
      </w:r>
    </w:p>
    <w:p>
      <w:pPr>
        <w:pStyle w:val="12"/>
        <w:rPr>
          <w:rFonts w:ascii="仿宋" w:hAnsi="仿宋" w:eastAsia="仿宋" w:cstheme="minorBidi"/>
          <w:kern w:val="2"/>
          <w:sz w:val="32"/>
          <w:szCs w:val="32"/>
          <w:lang w:eastAsia="zh-CN"/>
        </w:rPr>
      </w:pPr>
      <w:r>
        <w:rPr>
          <w:rFonts w:ascii="仿宋" w:hAnsi="仿宋" w:eastAsia="仿宋" w:cstheme="minorBidi"/>
          <w:kern w:val="2"/>
          <w:sz w:val="32"/>
          <w:szCs w:val="32"/>
          <w:lang w:eastAsia="zh-CN"/>
        </w:rPr>
        <w:t>2.分解细化责任，狠抓任务落实。按照“谁花钱、谁负责”的原则，明确各股室预算绩效管理职责。充分调动项目主管股室的积极性和主动性，由业务股室负责科学制定分管项目和内容的中期、终期绩效目标和评价指标，动态收集评估数据信息，开展预算绩效中期绩效评估、终期评价，落实整改措施。按照领导小组批示，开展分管项目及内容的预算绩效管理具体工作，实现定项目就要抓绩效、分资金就要管绩效，确保财务与业务工作紧密衔接，相互促进。</w:t>
      </w:r>
    </w:p>
    <w:p>
      <w:pPr>
        <w:pStyle w:val="12"/>
        <w:rPr>
          <w:rFonts w:ascii="仿宋" w:hAnsi="仿宋" w:eastAsia="仿宋" w:cstheme="minorBidi"/>
          <w:kern w:val="2"/>
          <w:sz w:val="32"/>
          <w:szCs w:val="32"/>
          <w:lang w:eastAsia="zh-CN"/>
        </w:rPr>
      </w:pPr>
      <w:r>
        <w:rPr>
          <w:rFonts w:ascii="仿宋" w:hAnsi="仿宋" w:eastAsia="仿宋" w:cstheme="minorBidi"/>
          <w:kern w:val="2"/>
          <w:sz w:val="32"/>
          <w:szCs w:val="32"/>
          <w:lang w:eastAsia="zh-CN"/>
        </w:rPr>
        <w:t>3.强化预算执行，确保支出进度。强化财政预算执行的刚性约束，及时启动项目和资金支付，加快履行政府采购程序，优化部门预算支出结构，创新财政资金支出思路，合理改进支出方式，确保按照时间节点完成支出任务，提高财政资金使用效率。</w:t>
      </w:r>
    </w:p>
    <w:p>
      <w:pPr>
        <w:pStyle w:val="12"/>
        <w:rPr>
          <w:rFonts w:ascii="仿宋" w:hAnsi="仿宋" w:eastAsia="仿宋" w:cstheme="minorBidi"/>
          <w:kern w:val="2"/>
          <w:sz w:val="32"/>
          <w:szCs w:val="32"/>
          <w:lang w:eastAsia="zh-CN"/>
        </w:rPr>
      </w:pPr>
      <w:r>
        <w:rPr>
          <w:rFonts w:ascii="仿宋" w:hAnsi="仿宋" w:eastAsia="仿宋" w:cstheme="minorBidi"/>
          <w:kern w:val="2"/>
          <w:sz w:val="32"/>
          <w:szCs w:val="32"/>
          <w:lang w:eastAsia="zh-CN"/>
        </w:rPr>
        <w:t>4.加大公开力度，提升评价效果。借鉴其他单位先进绩效评价经验，成立专门的评价工作小组，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pPr>
        <w:spacing w:line="360" w:lineRule="auto"/>
        <w:ind w:firstLine="640" w:firstLineChars="200"/>
        <w:rPr>
          <w:rFonts w:ascii="仿宋" w:hAnsi="仿宋" w:eastAsia="仿宋"/>
          <w:sz w:val="32"/>
          <w:szCs w:val="32"/>
        </w:rPr>
      </w:pPr>
      <w:r>
        <w:rPr>
          <w:rFonts w:ascii="仿宋" w:hAnsi="仿宋" w:eastAsia="仿宋"/>
          <w:sz w:val="32"/>
          <w:szCs w:val="32"/>
        </w:rPr>
        <w:t>5.强化培训宣传，提升绩效水平。积极参加绩效管理业务培训，提高全办人员业务素质。通过网络、会议等方式加大宣传力度，强化预算绩效管理意识，营造良好的舆论氛围，提升预算绩效管理科学化水平。</w:t>
      </w:r>
    </w:p>
    <w:p>
      <w:pPr>
        <w:jc w:val="center"/>
        <w:outlineLvl w:val="0"/>
        <w:rPr>
          <w:rFonts w:ascii="方正书宋_GBK" w:eastAsia="方正书宋_GBK"/>
        </w:rPr>
      </w:pPr>
      <w:r>
        <w:rPr>
          <w:rFonts w:hint="eastAsia" w:ascii="方正小标宋_GBK" w:eastAsia="方正小标宋_GBK"/>
          <w:sz w:val="44"/>
        </w:rPr>
        <w:t>预算项目绩效目标</w:t>
      </w:r>
      <w:r>
        <w:rPr>
          <w:rFonts w:ascii="方正书宋_GBK" w:eastAsia="方正书宋_GBK"/>
        </w:rPr>
        <w:t xml:space="preserve"> </w:t>
      </w:r>
    </w:p>
    <w:p>
      <w:pPr>
        <w:ind w:firstLine="560"/>
        <w:outlineLvl w:val="3"/>
      </w:pPr>
      <w:bookmarkStart w:id="3" w:name="_Toc_4_4_0000000004"/>
      <w:r>
        <w:rPr>
          <w:rFonts w:ascii="方正仿宋_GBK" w:hAnsi="方正仿宋_GBK" w:eastAsia="方正仿宋_GBK" w:cs="方正仿宋_GBK"/>
          <w:color w:val="000000"/>
          <w:sz w:val="28"/>
        </w:rPr>
        <w:t>1.中文域名管理工作经费（运转保障）绩效目标表</w:t>
      </w:r>
      <w:bookmarkEnd w:id="3"/>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225001中共保定市徐水区委机构编制委员会办公室本级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13062522P00456510028F</w:t>
            </w:r>
          </w:p>
        </w:tc>
        <w:tc>
          <w:tcPr>
            <w:tcW w:w="1587" w:type="dxa"/>
            <w:vAlign w:val="center"/>
          </w:tcPr>
          <w:p>
            <w:pPr>
              <w:pStyle w:val="16"/>
            </w:pPr>
            <w:r>
              <w:t>项目名称</w:t>
            </w:r>
          </w:p>
        </w:tc>
        <w:tc>
          <w:tcPr>
            <w:tcW w:w="4422" w:type="dxa"/>
            <w:gridSpan w:val="3"/>
            <w:vAlign w:val="center"/>
          </w:tcPr>
          <w:p>
            <w:pPr>
              <w:pStyle w:val="15"/>
            </w:pPr>
            <w:r>
              <w:t>中文域名管理工作经费（运转保障）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6.54</w:t>
            </w:r>
          </w:p>
        </w:tc>
        <w:tc>
          <w:tcPr>
            <w:tcW w:w="1587" w:type="dxa"/>
            <w:vAlign w:val="center"/>
          </w:tcPr>
          <w:p>
            <w:pPr>
              <w:pStyle w:val="16"/>
            </w:pPr>
            <w:r>
              <w:t>其中：财政    资金</w:t>
            </w:r>
          </w:p>
        </w:tc>
        <w:tc>
          <w:tcPr>
            <w:tcW w:w="1304" w:type="dxa"/>
            <w:vAlign w:val="center"/>
          </w:tcPr>
          <w:p>
            <w:pPr>
              <w:pStyle w:val="15"/>
            </w:pPr>
            <w:r>
              <w:t>6.54</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用于全区党政群机关和事业单位以单位名称注册中文域名维护费.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 xml:space="preserve"> </w:t>
            </w:r>
          </w:p>
        </w:tc>
        <w:tc>
          <w:tcPr>
            <w:tcW w:w="1304" w:type="dxa"/>
            <w:vAlign w:val="center"/>
          </w:tcPr>
          <w:p>
            <w:pPr>
              <w:pStyle w:val="17"/>
            </w:pPr>
            <w:r>
              <w:t xml:space="preserve"> </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1.建立一条快速、准确访问政务部门和公益机构网站的绿色通道，推动政务公开和电子政务的发展。</w:t>
            </w:r>
          </w:p>
          <w:p>
            <w:pPr>
              <w:pStyle w:val="15"/>
            </w:pPr>
            <w:r>
              <w:t>2.完成缴纳达到要求至少300个党政群机关和事业单位以单位名称注册中文域名维护费</w:t>
            </w:r>
          </w:p>
          <w:p>
            <w:pPr>
              <w:pStyle w:val="15"/>
            </w:pPr>
            <w:r>
              <w:t>3.资金按进度及时支付到位，4月份完成100%</w:t>
            </w:r>
          </w:p>
        </w:tc>
      </w:tr>
    </w:tbl>
    <w:p>
      <w:pPr>
        <w:spacing w:line="2" w:lineRule="exact"/>
        <w:jc w:val="center"/>
      </w:pPr>
      <w:r>
        <w:rPr>
          <w:rFonts w:ascii="方正书宋_GBK" w:hAnsi="方正书宋_GBK" w:eastAsia="方正书宋_GBK" w:cs="方正书宋_GBK"/>
          <w:color w:val="00000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维护中文域名单位数量</w:t>
            </w:r>
          </w:p>
        </w:tc>
        <w:tc>
          <w:tcPr>
            <w:tcW w:w="2891" w:type="dxa"/>
            <w:vAlign w:val="center"/>
          </w:tcPr>
          <w:p>
            <w:pPr>
              <w:pStyle w:val="15"/>
            </w:pPr>
            <w:r>
              <w:t>考察是否与实际维护中文域名单位数量一致</w:t>
            </w:r>
          </w:p>
        </w:tc>
        <w:tc>
          <w:tcPr>
            <w:tcW w:w="1276" w:type="dxa"/>
            <w:vAlign w:val="center"/>
          </w:tcPr>
          <w:p>
            <w:pPr>
              <w:pStyle w:val="15"/>
            </w:pPr>
            <w:r>
              <w:t>≥300个</w:t>
            </w:r>
          </w:p>
        </w:tc>
        <w:tc>
          <w:tcPr>
            <w:tcW w:w="1843" w:type="dxa"/>
            <w:vAlign w:val="center"/>
          </w:tcPr>
          <w:p>
            <w:pPr>
              <w:pStyle w:val="15"/>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平台有效运行率</w:t>
            </w:r>
          </w:p>
        </w:tc>
        <w:tc>
          <w:tcPr>
            <w:tcW w:w="2891" w:type="dxa"/>
            <w:vAlign w:val="center"/>
          </w:tcPr>
          <w:p>
            <w:pPr>
              <w:pStyle w:val="15"/>
            </w:pPr>
            <w:r>
              <w:t>考察平台有效运行率大于90%</w:t>
            </w:r>
          </w:p>
        </w:tc>
        <w:tc>
          <w:tcPr>
            <w:tcW w:w="1276" w:type="dxa"/>
            <w:vAlign w:val="center"/>
          </w:tcPr>
          <w:p>
            <w:pPr>
              <w:pStyle w:val="15"/>
            </w:pPr>
            <w:r>
              <w:t>≥90%</w:t>
            </w:r>
          </w:p>
        </w:tc>
        <w:tc>
          <w:tcPr>
            <w:tcW w:w="1843" w:type="dxa"/>
            <w:vAlign w:val="center"/>
          </w:tcPr>
          <w:p>
            <w:pPr>
              <w:pStyle w:val="15"/>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维护及时性</w:t>
            </w:r>
          </w:p>
        </w:tc>
        <w:tc>
          <w:tcPr>
            <w:tcW w:w="2891" w:type="dxa"/>
            <w:vAlign w:val="center"/>
          </w:tcPr>
          <w:p>
            <w:pPr>
              <w:pStyle w:val="15"/>
            </w:pPr>
            <w:r>
              <w:t>考察是否按照工作计划进行维护</w:t>
            </w:r>
          </w:p>
        </w:tc>
        <w:tc>
          <w:tcPr>
            <w:tcW w:w="1276" w:type="dxa"/>
            <w:vAlign w:val="center"/>
          </w:tcPr>
          <w:p>
            <w:pPr>
              <w:pStyle w:val="15"/>
            </w:pPr>
            <w:r>
              <w:t>≥90%</w:t>
            </w:r>
          </w:p>
        </w:tc>
        <w:tc>
          <w:tcPr>
            <w:tcW w:w="1843" w:type="dxa"/>
            <w:vAlign w:val="center"/>
          </w:tcPr>
          <w:p>
            <w:pPr>
              <w:pStyle w:val="15"/>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每个单位中文域名维护预算成本</w:t>
            </w:r>
          </w:p>
        </w:tc>
        <w:tc>
          <w:tcPr>
            <w:tcW w:w="2891" w:type="dxa"/>
            <w:vAlign w:val="center"/>
          </w:tcPr>
          <w:p>
            <w:pPr>
              <w:pStyle w:val="15"/>
            </w:pPr>
            <w:r>
              <w:t>每个单位中文域名维护预算成本200元\年</w:t>
            </w:r>
          </w:p>
        </w:tc>
        <w:tc>
          <w:tcPr>
            <w:tcW w:w="1276" w:type="dxa"/>
            <w:vAlign w:val="center"/>
          </w:tcPr>
          <w:p>
            <w:pPr>
              <w:pStyle w:val="15"/>
            </w:pPr>
            <w:r>
              <w:t>200元</w:t>
            </w:r>
          </w:p>
        </w:tc>
        <w:tc>
          <w:tcPr>
            <w:tcW w:w="1843" w:type="dxa"/>
            <w:vAlign w:val="center"/>
          </w:tcPr>
          <w:p>
            <w:pPr>
              <w:pStyle w:val="15"/>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提供政务信息率</w:t>
            </w:r>
          </w:p>
        </w:tc>
        <w:tc>
          <w:tcPr>
            <w:tcW w:w="2891" w:type="dxa"/>
            <w:vAlign w:val="center"/>
          </w:tcPr>
          <w:p>
            <w:pPr>
              <w:pStyle w:val="15"/>
            </w:pPr>
            <w:r>
              <w:t>政务信息便利提升率</w:t>
            </w:r>
          </w:p>
        </w:tc>
        <w:tc>
          <w:tcPr>
            <w:tcW w:w="1276" w:type="dxa"/>
            <w:vAlign w:val="center"/>
          </w:tcPr>
          <w:p>
            <w:pPr>
              <w:pStyle w:val="15"/>
            </w:pPr>
            <w:r>
              <w:t>≥90%</w:t>
            </w:r>
          </w:p>
        </w:tc>
        <w:tc>
          <w:tcPr>
            <w:tcW w:w="1843" w:type="dxa"/>
            <w:vAlign w:val="center"/>
          </w:tcPr>
          <w:p>
            <w:pPr>
              <w:pStyle w:val="15"/>
            </w:pPr>
            <w:r>
              <w:t>按照历史标准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服务群众满意度</w:t>
            </w:r>
          </w:p>
        </w:tc>
        <w:tc>
          <w:tcPr>
            <w:tcW w:w="2891" w:type="dxa"/>
            <w:vAlign w:val="center"/>
          </w:tcPr>
          <w:p>
            <w:pPr>
              <w:pStyle w:val="15"/>
            </w:pPr>
            <w:r>
              <w:t>服务群众满意度</w:t>
            </w:r>
          </w:p>
        </w:tc>
        <w:tc>
          <w:tcPr>
            <w:tcW w:w="1276" w:type="dxa"/>
            <w:vAlign w:val="center"/>
          </w:tcPr>
          <w:p>
            <w:pPr>
              <w:pStyle w:val="15"/>
            </w:pPr>
            <w:r>
              <w:t>≥90%</w:t>
            </w:r>
          </w:p>
        </w:tc>
        <w:tc>
          <w:tcPr>
            <w:tcW w:w="1843" w:type="dxa"/>
            <w:vAlign w:val="center"/>
          </w:tcPr>
          <w:p>
            <w:pPr>
              <w:pStyle w:val="15"/>
            </w:pPr>
            <w:r>
              <w:t>徐机编[2021]3号</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color w:val="000000"/>
          <w:sz w:val="28"/>
        </w:rPr>
        <w:t xml:space="preserve"> </w:t>
      </w:r>
    </w:p>
    <w:p>
      <w:pPr>
        <w:ind w:firstLine="560"/>
        <w:outlineLvl w:val="3"/>
      </w:pPr>
      <w:bookmarkStart w:id="4" w:name="_Toc_4_4_0000000005"/>
      <w:r>
        <w:rPr>
          <w:rFonts w:ascii="方正仿宋_GBK" w:hAnsi="方正仿宋_GBK" w:eastAsia="方正仿宋_GBK" w:cs="方正仿宋_GBK"/>
          <w:color w:val="000000"/>
          <w:sz w:val="28"/>
        </w:rPr>
        <w:t>2.电子政务中心工作经费（运转保障）绩效目标表</w:t>
      </w:r>
      <w:bookmarkEnd w:id="4"/>
    </w:p>
    <w:tbl>
      <w:tblPr>
        <w:tblStyle w:val="5"/>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304"/>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0" w:type="dxa"/>
            <w:gridSpan w:val="6"/>
            <w:tcBorders>
              <w:top w:val="single" w:color="FFFFFF" w:sz="6" w:space="0"/>
              <w:left w:val="single" w:color="FFFFFF" w:sz="6" w:space="0"/>
              <w:right w:val="single" w:color="FFFFFF" w:sz="6" w:space="0"/>
            </w:tcBorders>
            <w:vAlign w:val="center"/>
          </w:tcPr>
          <w:p>
            <w:pPr>
              <w:pStyle w:val="14"/>
            </w:pPr>
            <w:r>
              <w:t>225001中共保定市徐水区委机构编制委员会办公室本级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608" w:type="dxa"/>
            <w:gridSpan w:val="2"/>
            <w:vAlign w:val="center"/>
          </w:tcPr>
          <w:p>
            <w:pPr>
              <w:pStyle w:val="15"/>
            </w:pPr>
            <w:r>
              <w:t>13062522P00456610046M</w:t>
            </w:r>
          </w:p>
        </w:tc>
        <w:tc>
          <w:tcPr>
            <w:tcW w:w="1587" w:type="dxa"/>
            <w:vAlign w:val="center"/>
          </w:tcPr>
          <w:p>
            <w:pPr>
              <w:pStyle w:val="16"/>
            </w:pPr>
            <w:r>
              <w:t>项目名称</w:t>
            </w:r>
          </w:p>
        </w:tc>
        <w:tc>
          <w:tcPr>
            <w:tcW w:w="4422" w:type="dxa"/>
            <w:gridSpan w:val="3"/>
            <w:vAlign w:val="center"/>
          </w:tcPr>
          <w:p>
            <w:pPr>
              <w:pStyle w:val="15"/>
            </w:pPr>
            <w:r>
              <w:t>电子政务中心工作经费（运转保障）</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332" w:type="dxa"/>
            <w:vAlign w:val="center"/>
          </w:tcPr>
          <w:p>
            <w:pPr>
              <w:pStyle w:val="15"/>
            </w:pPr>
            <w:r>
              <w:t>3.00</w:t>
            </w:r>
          </w:p>
        </w:tc>
        <w:tc>
          <w:tcPr>
            <w:tcW w:w="1587" w:type="dxa"/>
            <w:vAlign w:val="center"/>
          </w:tcPr>
          <w:p>
            <w:pPr>
              <w:pStyle w:val="16"/>
            </w:pPr>
            <w:r>
              <w:t>其中：财政    资金</w:t>
            </w:r>
          </w:p>
        </w:tc>
        <w:tc>
          <w:tcPr>
            <w:tcW w:w="1304" w:type="dxa"/>
            <w:vAlign w:val="center"/>
          </w:tcPr>
          <w:p>
            <w:pPr>
              <w:pStyle w:val="15"/>
            </w:pPr>
            <w:r>
              <w:t>3.00</w:t>
            </w:r>
          </w:p>
        </w:tc>
        <w:tc>
          <w:tcPr>
            <w:tcW w:w="1276" w:type="dxa"/>
            <w:vAlign w:val="center"/>
          </w:tcPr>
          <w:p>
            <w:pPr>
              <w:pStyle w:val="16"/>
            </w:pPr>
            <w:r>
              <w:t>其他资金</w:t>
            </w:r>
          </w:p>
        </w:tc>
        <w:tc>
          <w:tcPr>
            <w:tcW w:w="1843" w:type="dxa"/>
            <w:vAlign w:val="center"/>
          </w:tcPr>
          <w:p>
            <w:pPr>
              <w:pStyle w:val="15"/>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7" w:type="dxa"/>
            <w:gridSpan w:val="6"/>
            <w:vAlign w:val="center"/>
          </w:tcPr>
          <w:p>
            <w:pPr>
              <w:pStyle w:val="15"/>
            </w:pPr>
            <w:r>
              <w:t>购买办公设备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608" w:type="dxa"/>
            <w:gridSpan w:val="2"/>
            <w:vAlign w:val="center"/>
          </w:tcPr>
          <w:p>
            <w:pPr>
              <w:pStyle w:val="16"/>
            </w:pPr>
            <w:r>
              <w:t>3月底</w:t>
            </w:r>
          </w:p>
        </w:tc>
        <w:tc>
          <w:tcPr>
            <w:tcW w:w="1587" w:type="dxa"/>
            <w:vAlign w:val="center"/>
          </w:tcPr>
          <w:p>
            <w:pPr>
              <w:pStyle w:val="16"/>
            </w:pPr>
            <w:r>
              <w:t>6月底</w:t>
            </w:r>
          </w:p>
        </w:tc>
        <w:tc>
          <w:tcPr>
            <w:tcW w:w="1304" w:type="dxa"/>
            <w:vAlign w:val="center"/>
          </w:tcPr>
          <w:p>
            <w:pPr>
              <w:pStyle w:val="16"/>
            </w:pPr>
            <w:r>
              <w:t>10月底</w:t>
            </w:r>
          </w:p>
        </w:tc>
        <w:tc>
          <w:tcPr>
            <w:tcW w:w="3118"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608" w:type="dxa"/>
            <w:gridSpan w:val="2"/>
            <w:vAlign w:val="center"/>
          </w:tcPr>
          <w:p>
            <w:pPr>
              <w:pStyle w:val="17"/>
            </w:pPr>
            <w:r>
              <w:t xml:space="preserve"> </w:t>
            </w:r>
          </w:p>
        </w:tc>
        <w:tc>
          <w:tcPr>
            <w:tcW w:w="1587" w:type="dxa"/>
            <w:vAlign w:val="center"/>
          </w:tcPr>
          <w:p>
            <w:pPr>
              <w:pStyle w:val="17"/>
            </w:pPr>
            <w:r>
              <w:t>50%</w:t>
            </w:r>
          </w:p>
        </w:tc>
        <w:tc>
          <w:tcPr>
            <w:tcW w:w="1304" w:type="dxa"/>
            <w:vAlign w:val="center"/>
          </w:tcPr>
          <w:p>
            <w:pPr>
              <w:pStyle w:val="17"/>
            </w:pPr>
            <w:r>
              <w:t>50%</w:t>
            </w:r>
          </w:p>
        </w:tc>
        <w:tc>
          <w:tcPr>
            <w:tcW w:w="3118"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7" w:type="dxa"/>
            <w:gridSpan w:val="6"/>
            <w:vAlign w:val="center"/>
          </w:tcPr>
          <w:p>
            <w:pPr>
              <w:pStyle w:val="15"/>
            </w:pPr>
            <w:r>
              <w:t>1.资金按进度及时支付到位，6月份完成50%，11月份完成100%。</w:t>
            </w:r>
          </w:p>
          <w:p>
            <w:pPr>
              <w:pStyle w:val="15"/>
            </w:pPr>
            <w:r>
              <w:t>2.加强机构编制电子政务和信息化建设工作</w:t>
            </w:r>
          </w:p>
        </w:tc>
      </w:tr>
    </w:tbl>
    <w:p>
      <w:pPr>
        <w:spacing w:line="2" w:lineRule="exact"/>
        <w:jc w:val="center"/>
      </w:pPr>
      <w:r>
        <w:rPr>
          <w:rFonts w:ascii="方正书宋_GBK" w:hAnsi="方正书宋_GBK" w:eastAsia="方正书宋_GBK" w:cs="方正书宋_GBK"/>
          <w:color w:val="000000"/>
        </w:rPr>
        <w:t xml:space="preserve"> </w:t>
      </w:r>
    </w:p>
    <w:tbl>
      <w:tblPr>
        <w:tblStyle w:val="5"/>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2891"/>
        <w:gridCol w:w="1276"/>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276" w:type="dxa"/>
            <w:vAlign w:val="center"/>
          </w:tcPr>
          <w:p>
            <w:pPr>
              <w:pStyle w:val="16"/>
            </w:pPr>
            <w:r>
              <w:t>二级指标</w:t>
            </w:r>
          </w:p>
        </w:tc>
        <w:tc>
          <w:tcPr>
            <w:tcW w:w="1332" w:type="dxa"/>
            <w:vAlign w:val="center"/>
          </w:tcPr>
          <w:p>
            <w:pPr>
              <w:pStyle w:val="16"/>
            </w:pPr>
            <w:r>
              <w:t>三级指标</w:t>
            </w:r>
          </w:p>
        </w:tc>
        <w:tc>
          <w:tcPr>
            <w:tcW w:w="2891" w:type="dxa"/>
            <w:vAlign w:val="center"/>
          </w:tcPr>
          <w:p>
            <w:pPr>
              <w:pStyle w:val="16"/>
            </w:pPr>
            <w:r>
              <w:t>绩效指标描述</w:t>
            </w:r>
          </w:p>
        </w:tc>
        <w:tc>
          <w:tcPr>
            <w:tcW w:w="1276"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276" w:type="dxa"/>
            <w:vAlign w:val="center"/>
          </w:tcPr>
          <w:p>
            <w:pPr>
              <w:pStyle w:val="15"/>
            </w:pPr>
            <w:r>
              <w:t>数量指标</w:t>
            </w:r>
          </w:p>
        </w:tc>
        <w:tc>
          <w:tcPr>
            <w:tcW w:w="1332" w:type="dxa"/>
            <w:vAlign w:val="center"/>
          </w:tcPr>
          <w:p>
            <w:pPr>
              <w:pStyle w:val="15"/>
            </w:pPr>
            <w:r>
              <w:t>采购数量</w:t>
            </w:r>
          </w:p>
        </w:tc>
        <w:tc>
          <w:tcPr>
            <w:tcW w:w="2891" w:type="dxa"/>
            <w:vAlign w:val="center"/>
          </w:tcPr>
          <w:p>
            <w:pPr>
              <w:pStyle w:val="15"/>
            </w:pPr>
            <w:r>
              <w:t>采购数量</w:t>
            </w:r>
          </w:p>
        </w:tc>
        <w:tc>
          <w:tcPr>
            <w:tcW w:w="1276" w:type="dxa"/>
            <w:vAlign w:val="center"/>
          </w:tcPr>
          <w:p>
            <w:pPr>
              <w:pStyle w:val="15"/>
            </w:pPr>
            <w:r>
              <w:t>5台</w:t>
            </w:r>
          </w:p>
        </w:tc>
        <w:tc>
          <w:tcPr>
            <w:tcW w:w="1843" w:type="dxa"/>
            <w:vAlign w:val="center"/>
          </w:tcPr>
          <w:p>
            <w:pPr>
              <w:pStyle w:val="15"/>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质量指标</w:t>
            </w:r>
          </w:p>
        </w:tc>
        <w:tc>
          <w:tcPr>
            <w:tcW w:w="1332" w:type="dxa"/>
            <w:vAlign w:val="center"/>
          </w:tcPr>
          <w:p>
            <w:pPr>
              <w:pStyle w:val="15"/>
            </w:pPr>
            <w:r>
              <w:t>采购质量合格率</w:t>
            </w:r>
          </w:p>
        </w:tc>
        <w:tc>
          <w:tcPr>
            <w:tcW w:w="2891" w:type="dxa"/>
            <w:vAlign w:val="center"/>
          </w:tcPr>
          <w:p>
            <w:pPr>
              <w:pStyle w:val="15"/>
            </w:pPr>
            <w:r>
              <w:t>采购质量合格率</w:t>
            </w:r>
          </w:p>
        </w:tc>
        <w:tc>
          <w:tcPr>
            <w:tcW w:w="1276" w:type="dxa"/>
            <w:vAlign w:val="center"/>
          </w:tcPr>
          <w:p>
            <w:pPr>
              <w:pStyle w:val="15"/>
            </w:pPr>
            <w:r>
              <w:t>≥90%</w:t>
            </w:r>
          </w:p>
        </w:tc>
        <w:tc>
          <w:tcPr>
            <w:tcW w:w="1843" w:type="dxa"/>
            <w:vAlign w:val="center"/>
          </w:tcPr>
          <w:p>
            <w:pPr>
              <w:pStyle w:val="15"/>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时效指标</w:t>
            </w:r>
          </w:p>
        </w:tc>
        <w:tc>
          <w:tcPr>
            <w:tcW w:w="1332" w:type="dxa"/>
            <w:vAlign w:val="center"/>
          </w:tcPr>
          <w:p>
            <w:pPr>
              <w:pStyle w:val="15"/>
            </w:pPr>
            <w:r>
              <w:t>办公设备采购完成时间</w:t>
            </w:r>
          </w:p>
        </w:tc>
        <w:tc>
          <w:tcPr>
            <w:tcW w:w="2891" w:type="dxa"/>
            <w:vAlign w:val="center"/>
          </w:tcPr>
          <w:p>
            <w:pPr>
              <w:pStyle w:val="15"/>
            </w:pPr>
            <w:r>
              <w:t>办公设备采购完成时间</w:t>
            </w:r>
          </w:p>
        </w:tc>
        <w:tc>
          <w:tcPr>
            <w:tcW w:w="1276" w:type="dxa"/>
            <w:vAlign w:val="center"/>
          </w:tcPr>
          <w:p>
            <w:pPr>
              <w:pStyle w:val="15"/>
            </w:pPr>
            <w:r>
              <w:t>≥95%</w:t>
            </w:r>
          </w:p>
        </w:tc>
        <w:tc>
          <w:tcPr>
            <w:tcW w:w="1843" w:type="dxa"/>
            <w:vAlign w:val="center"/>
          </w:tcPr>
          <w:p>
            <w:pPr>
              <w:pStyle w:val="15"/>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5"/>
            </w:pPr>
            <w:r>
              <w:t>成本指标</w:t>
            </w:r>
          </w:p>
        </w:tc>
        <w:tc>
          <w:tcPr>
            <w:tcW w:w="1332" w:type="dxa"/>
            <w:vAlign w:val="center"/>
          </w:tcPr>
          <w:p>
            <w:pPr>
              <w:pStyle w:val="15"/>
            </w:pPr>
            <w:r>
              <w:t>采购成本</w:t>
            </w:r>
          </w:p>
        </w:tc>
        <w:tc>
          <w:tcPr>
            <w:tcW w:w="2891" w:type="dxa"/>
            <w:vAlign w:val="center"/>
          </w:tcPr>
          <w:p>
            <w:pPr>
              <w:pStyle w:val="15"/>
            </w:pPr>
            <w:r>
              <w:t>采购成本</w:t>
            </w:r>
          </w:p>
        </w:tc>
        <w:tc>
          <w:tcPr>
            <w:tcW w:w="1276" w:type="dxa"/>
            <w:vAlign w:val="center"/>
          </w:tcPr>
          <w:p>
            <w:pPr>
              <w:pStyle w:val="15"/>
            </w:pPr>
            <w:r>
              <w:t>≤3万元</w:t>
            </w:r>
          </w:p>
        </w:tc>
        <w:tc>
          <w:tcPr>
            <w:tcW w:w="1843" w:type="dxa"/>
            <w:vAlign w:val="center"/>
          </w:tcPr>
          <w:p>
            <w:pPr>
              <w:pStyle w:val="15"/>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276" w:type="dxa"/>
            <w:vAlign w:val="center"/>
          </w:tcPr>
          <w:p>
            <w:pPr>
              <w:pStyle w:val="15"/>
            </w:pPr>
            <w:r>
              <w:t>社会效益指标</w:t>
            </w:r>
          </w:p>
        </w:tc>
        <w:tc>
          <w:tcPr>
            <w:tcW w:w="1332" w:type="dxa"/>
            <w:vAlign w:val="center"/>
          </w:tcPr>
          <w:p>
            <w:pPr>
              <w:pStyle w:val="15"/>
            </w:pPr>
            <w:r>
              <w:t>工作效率提高率</w:t>
            </w:r>
          </w:p>
        </w:tc>
        <w:tc>
          <w:tcPr>
            <w:tcW w:w="2891" w:type="dxa"/>
            <w:vAlign w:val="center"/>
          </w:tcPr>
          <w:p>
            <w:pPr>
              <w:pStyle w:val="15"/>
            </w:pPr>
            <w:r>
              <w:t>工作效率提高率</w:t>
            </w:r>
          </w:p>
        </w:tc>
        <w:tc>
          <w:tcPr>
            <w:tcW w:w="1276" w:type="dxa"/>
            <w:vAlign w:val="center"/>
          </w:tcPr>
          <w:p>
            <w:pPr>
              <w:pStyle w:val="15"/>
            </w:pPr>
            <w:r>
              <w:t>≥10%</w:t>
            </w:r>
          </w:p>
        </w:tc>
        <w:tc>
          <w:tcPr>
            <w:tcW w:w="1843" w:type="dxa"/>
            <w:vAlign w:val="center"/>
          </w:tcPr>
          <w:p>
            <w:pPr>
              <w:pStyle w:val="15"/>
            </w:pPr>
            <w:r>
              <w:t>徐机编[2021]3号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满意度指标</w:t>
            </w:r>
          </w:p>
        </w:tc>
        <w:tc>
          <w:tcPr>
            <w:tcW w:w="1276" w:type="dxa"/>
            <w:vAlign w:val="center"/>
          </w:tcPr>
          <w:p>
            <w:pPr>
              <w:pStyle w:val="15"/>
            </w:pPr>
            <w:r>
              <w:t>服务对象满意度指标</w:t>
            </w:r>
          </w:p>
        </w:tc>
        <w:tc>
          <w:tcPr>
            <w:tcW w:w="1332" w:type="dxa"/>
            <w:vAlign w:val="center"/>
          </w:tcPr>
          <w:p>
            <w:pPr>
              <w:pStyle w:val="15"/>
            </w:pPr>
            <w:r>
              <w:t>服务对象满意度</w:t>
            </w:r>
          </w:p>
        </w:tc>
        <w:tc>
          <w:tcPr>
            <w:tcW w:w="2891" w:type="dxa"/>
            <w:vAlign w:val="center"/>
          </w:tcPr>
          <w:p>
            <w:pPr>
              <w:pStyle w:val="15"/>
            </w:pPr>
            <w:r>
              <w:t>服务对象满意度</w:t>
            </w:r>
          </w:p>
        </w:tc>
        <w:tc>
          <w:tcPr>
            <w:tcW w:w="1276" w:type="dxa"/>
            <w:vAlign w:val="center"/>
          </w:tcPr>
          <w:p>
            <w:pPr>
              <w:pStyle w:val="15"/>
            </w:pPr>
            <w:r>
              <w:t>≥90%</w:t>
            </w:r>
          </w:p>
        </w:tc>
        <w:tc>
          <w:tcPr>
            <w:tcW w:w="1843" w:type="dxa"/>
            <w:vAlign w:val="center"/>
          </w:tcPr>
          <w:p>
            <w:pPr>
              <w:pStyle w:val="15"/>
            </w:pPr>
            <w:r>
              <w:t>徐机编[2021]3号</w:t>
            </w:r>
          </w:p>
        </w:tc>
      </w:tr>
    </w:tbl>
    <w:p>
      <w:pPr>
        <w:sectPr>
          <w:pgSz w:w="11900" w:h="16840"/>
          <w:pgMar w:top="1984" w:right="1304" w:bottom="1134" w:left="1304" w:header="720" w:footer="720" w:gutter="0"/>
          <w:cols w:space="720" w:num="1"/>
        </w:sectPr>
      </w:pPr>
    </w:p>
    <w:p>
      <w:pPr>
        <w:ind w:firstLine="560"/>
        <w:outlineLvl w:val="3"/>
        <w:rPr>
          <w:rFonts w:ascii="方正仿宋_GBK" w:hAnsi="方正仿宋_GBK" w:eastAsia="方正仿宋_GBK" w:cs="方正仿宋_GBK"/>
          <w:color w:val="000000"/>
          <w:sz w:val="28"/>
        </w:rPr>
      </w:pPr>
      <w:r>
        <w:rPr>
          <w:rFonts w:ascii="方正仿宋_GBK" w:hAnsi="方正仿宋_GBK" w:eastAsia="方正仿宋_GBK" w:cs="方正仿宋_GBK"/>
          <w:color w:val="000000"/>
          <w:sz w:val="28"/>
        </w:rPr>
        <w:t xml:space="preserve"> </w:t>
      </w:r>
    </w:p>
    <w:p>
      <w:pPr>
        <w:ind w:firstLine="560"/>
        <w:outlineLvl w:val="3"/>
        <w:rPr>
          <w:rFonts w:ascii="方正仿宋_GBK" w:hAnsi="方正仿宋_GBK" w:eastAsia="方正仿宋_GBK" w:cs="方正仿宋_GBK"/>
          <w:color w:val="000000"/>
          <w:sz w:val="28"/>
        </w:rPr>
      </w:pPr>
      <w:bookmarkStart w:id="5" w:name="_Toc_4_4_0000000006"/>
      <w:r>
        <w:rPr>
          <w:rFonts w:ascii="方正仿宋_GBK" w:hAnsi="方正仿宋_GBK" w:eastAsia="方正仿宋_GBK" w:cs="方正仿宋_GBK"/>
          <w:color w:val="000000"/>
          <w:sz w:val="28"/>
        </w:rPr>
        <w:t>3.利息收入绩效目标表</w:t>
      </w:r>
      <w:bookmarkEnd w:id="5"/>
    </w:p>
    <w:tbl>
      <w:tblPr>
        <w:tblStyle w:val="5"/>
        <w:tblW w:w="9894"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432"/>
        <w:gridCol w:w="2126"/>
        <w:gridCol w:w="665"/>
        <w:gridCol w:w="1276"/>
        <w:gridCol w:w="1843"/>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051" w:type="dxa"/>
            <w:gridSpan w:val="6"/>
            <w:tcBorders>
              <w:top w:val="single" w:color="FFFFFF" w:sz="6" w:space="0"/>
              <w:left w:val="single" w:color="FFFFFF" w:sz="6" w:space="0"/>
              <w:right w:val="single" w:color="FFFFFF" w:sz="6" w:space="0"/>
            </w:tcBorders>
            <w:vAlign w:val="center"/>
          </w:tcPr>
          <w:p>
            <w:pPr>
              <w:pStyle w:val="14"/>
            </w:pPr>
            <w:r>
              <w:t>225001中共保定市徐水区委机构编制委员会办公室本级</w:t>
            </w:r>
          </w:p>
        </w:tc>
        <w:tc>
          <w:tcPr>
            <w:tcW w:w="1843" w:type="dxa"/>
            <w:tcBorders>
              <w:top w:val="single" w:color="FFFFFF" w:sz="6" w:space="0"/>
              <w:left w:val="single" w:color="FFFFFF" w:sz="6" w:space="0"/>
              <w:right w:val="single" w:color="FFFFFF" w:sz="6" w:space="0"/>
            </w:tcBorders>
            <w:vAlign w:val="center"/>
          </w:tcPr>
          <w:p>
            <w:pPr>
              <w:pStyle w:val="13"/>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项目编码</w:t>
            </w:r>
          </w:p>
        </w:tc>
        <w:tc>
          <w:tcPr>
            <w:tcW w:w="2708" w:type="dxa"/>
            <w:gridSpan w:val="2"/>
            <w:vAlign w:val="center"/>
          </w:tcPr>
          <w:p>
            <w:pPr>
              <w:pStyle w:val="15"/>
            </w:pPr>
            <w:r>
              <w:t>13062522P00459810036T</w:t>
            </w:r>
          </w:p>
        </w:tc>
        <w:tc>
          <w:tcPr>
            <w:tcW w:w="2126" w:type="dxa"/>
            <w:vAlign w:val="center"/>
          </w:tcPr>
          <w:p>
            <w:pPr>
              <w:pStyle w:val="16"/>
            </w:pPr>
            <w:r>
              <w:t>项目名称</w:t>
            </w:r>
          </w:p>
        </w:tc>
        <w:tc>
          <w:tcPr>
            <w:tcW w:w="3784" w:type="dxa"/>
            <w:gridSpan w:val="3"/>
            <w:vAlign w:val="center"/>
          </w:tcPr>
          <w:p>
            <w:pPr>
              <w:pStyle w:val="15"/>
            </w:pPr>
            <w:r>
              <w:t>利息收入</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预算规模及资金用途</w:t>
            </w:r>
          </w:p>
        </w:tc>
        <w:tc>
          <w:tcPr>
            <w:tcW w:w="1276" w:type="dxa"/>
            <w:vAlign w:val="center"/>
          </w:tcPr>
          <w:p>
            <w:pPr>
              <w:pStyle w:val="16"/>
            </w:pPr>
            <w:r>
              <w:t>预算数</w:t>
            </w:r>
          </w:p>
        </w:tc>
        <w:tc>
          <w:tcPr>
            <w:tcW w:w="1432" w:type="dxa"/>
            <w:vAlign w:val="center"/>
          </w:tcPr>
          <w:p>
            <w:pPr>
              <w:pStyle w:val="15"/>
            </w:pPr>
            <w:r>
              <w:t>0.01</w:t>
            </w:r>
          </w:p>
        </w:tc>
        <w:tc>
          <w:tcPr>
            <w:tcW w:w="2126" w:type="dxa"/>
            <w:vAlign w:val="center"/>
          </w:tcPr>
          <w:p>
            <w:pPr>
              <w:pStyle w:val="16"/>
            </w:pPr>
            <w:r>
              <w:t>其中：财政资金</w:t>
            </w:r>
          </w:p>
        </w:tc>
        <w:tc>
          <w:tcPr>
            <w:tcW w:w="665" w:type="dxa"/>
            <w:vAlign w:val="center"/>
          </w:tcPr>
          <w:p>
            <w:pPr>
              <w:pStyle w:val="15"/>
            </w:pPr>
            <w:r>
              <w:t xml:space="preserve"> </w:t>
            </w:r>
          </w:p>
        </w:tc>
        <w:tc>
          <w:tcPr>
            <w:tcW w:w="1276" w:type="dxa"/>
            <w:vAlign w:val="center"/>
          </w:tcPr>
          <w:p>
            <w:pPr>
              <w:pStyle w:val="16"/>
            </w:pPr>
            <w:r>
              <w:t>其他资金</w:t>
            </w:r>
          </w:p>
        </w:tc>
        <w:tc>
          <w:tcPr>
            <w:tcW w:w="1843" w:type="dxa"/>
            <w:vAlign w:val="center"/>
          </w:tcPr>
          <w:p>
            <w:pPr>
              <w:pStyle w:val="15"/>
            </w:pPr>
            <w:r>
              <w:t>0.01</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618" w:type="dxa"/>
            <w:gridSpan w:val="6"/>
            <w:vAlign w:val="center"/>
          </w:tcPr>
          <w:p>
            <w:pPr>
              <w:pStyle w:val="15"/>
            </w:pPr>
            <w:r>
              <w:t>办公费支出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6"/>
            </w:pPr>
            <w:r>
              <w:t>资金支出计划（%）</w:t>
            </w:r>
          </w:p>
        </w:tc>
        <w:tc>
          <w:tcPr>
            <w:tcW w:w="2708" w:type="dxa"/>
            <w:gridSpan w:val="2"/>
            <w:vAlign w:val="center"/>
          </w:tcPr>
          <w:p>
            <w:pPr>
              <w:pStyle w:val="16"/>
            </w:pPr>
            <w:r>
              <w:t>3月底</w:t>
            </w:r>
          </w:p>
        </w:tc>
        <w:tc>
          <w:tcPr>
            <w:tcW w:w="2126" w:type="dxa"/>
            <w:vAlign w:val="center"/>
          </w:tcPr>
          <w:p>
            <w:pPr>
              <w:pStyle w:val="16"/>
            </w:pPr>
            <w:r>
              <w:t>6月底</w:t>
            </w:r>
          </w:p>
        </w:tc>
        <w:tc>
          <w:tcPr>
            <w:tcW w:w="665" w:type="dxa"/>
            <w:vAlign w:val="center"/>
          </w:tcPr>
          <w:p>
            <w:pPr>
              <w:pStyle w:val="16"/>
            </w:pPr>
            <w:r>
              <w:t>10月底</w:t>
            </w:r>
          </w:p>
        </w:tc>
        <w:tc>
          <w:tcPr>
            <w:tcW w:w="3119" w:type="dxa"/>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2708" w:type="dxa"/>
            <w:gridSpan w:val="2"/>
            <w:vAlign w:val="center"/>
          </w:tcPr>
          <w:p>
            <w:pPr>
              <w:pStyle w:val="17"/>
            </w:pPr>
            <w:r>
              <w:t xml:space="preserve"> </w:t>
            </w:r>
          </w:p>
        </w:tc>
        <w:tc>
          <w:tcPr>
            <w:tcW w:w="2126" w:type="dxa"/>
            <w:vAlign w:val="center"/>
          </w:tcPr>
          <w:p>
            <w:pPr>
              <w:pStyle w:val="17"/>
            </w:pPr>
            <w:r>
              <w:t xml:space="preserve"> </w:t>
            </w:r>
          </w:p>
        </w:tc>
        <w:tc>
          <w:tcPr>
            <w:tcW w:w="665" w:type="dxa"/>
            <w:vAlign w:val="center"/>
          </w:tcPr>
          <w:p>
            <w:pPr>
              <w:pStyle w:val="17"/>
            </w:pPr>
            <w:r>
              <w:t>75%</w:t>
            </w:r>
          </w:p>
        </w:tc>
        <w:tc>
          <w:tcPr>
            <w:tcW w:w="3119" w:type="dxa"/>
            <w:gridSpan w:val="2"/>
            <w:vAlign w:val="center"/>
          </w:tcPr>
          <w:p>
            <w:pPr>
              <w:pStyle w:val="17"/>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6"/>
            </w:pPr>
            <w:r>
              <w:t>绩效目标</w:t>
            </w:r>
          </w:p>
        </w:tc>
        <w:tc>
          <w:tcPr>
            <w:tcW w:w="8618" w:type="dxa"/>
            <w:gridSpan w:val="6"/>
            <w:vAlign w:val="center"/>
          </w:tcPr>
          <w:p>
            <w:pPr>
              <w:pStyle w:val="15"/>
            </w:pPr>
            <w:r>
              <w:t>1.按实际情况支出</w:t>
            </w:r>
          </w:p>
          <w:p>
            <w:pPr>
              <w:pStyle w:val="15"/>
            </w:pPr>
            <w:r>
              <w:t>2.年底支出100%</w:t>
            </w:r>
          </w:p>
          <w:p>
            <w:pPr>
              <w:pStyle w:val="15"/>
            </w:pPr>
            <w:r>
              <w:t>3.利息收入补充办公费不足</w:t>
            </w:r>
          </w:p>
        </w:tc>
      </w:tr>
    </w:tbl>
    <w:p>
      <w:pPr>
        <w:spacing w:line="2" w:lineRule="exact"/>
        <w:jc w:val="center"/>
      </w:pPr>
      <w:r>
        <w:rPr>
          <w:rFonts w:ascii="方正书宋_GBK" w:hAnsi="方正书宋_GBK" w:eastAsia="方正书宋_GBK" w:cs="方正书宋_GBK"/>
          <w:color w:val="000000"/>
        </w:rPr>
        <w:t xml:space="preserve"> </w:t>
      </w:r>
    </w:p>
    <w:tbl>
      <w:tblPr>
        <w:tblStyle w:val="5"/>
        <w:tblW w:w="98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574"/>
        <w:gridCol w:w="1276"/>
        <w:gridCol w:w="2976"/>
        <w:gridCol w:w="949"/>
        <w:gridCol w:w="18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6"/>
            </w:pPr>
            <w:r>
              <w:t>一级指标</w:t>
            </w:r>
          </w:p>
        </w:tc>
        <w:tc>
          <w:tcPr>
            <w:tcW w:w="1574" w:type="dxa"/>
            <w:vAlign w:val="center"/>
          </w:tcPr>
          <w:p>
            <w:pPr>
              <w:pStyle w:val="16"/>
            </w:pPr>
            <w:r>
              <w:t>二级指标</w:t>
            </w:r>
          </w:p>
        </w:tc>
        <w:tc>
          <w:tcPr>
            <w:tcW w:w="1276" w:type="dxa"/>
            <w:vAlign w:val="center"/>
          </w:tcPr>
          <w:p>
            <w:pPr>
              <w:pStyle w:val="16"/>
            </w:pPr>
            <w:r>
              <w:t>三级指标</w:t>
            </w:r>
          </w:p>
        </w:tc>
        <w:tc>
          <w:tcPr>
            <w:tcW w:w="2976" w:type="dxa"/>
            <w:vAlign w:val="center"/>
          </w:tcPr>
          <w:p>
            <w:pPr>
              <w:pStyle w:val="16"/>
            </w:pPr>
            <w:r>
              <w:t>绩效指标描述</w:t>
            </w:r>
          </w:p>
        </w:tc>
        <w:tc>
          <w:tcPr>
            <w:tcW w:w="949" w:type="dxa"/>
            <w:vAlign w:val="center"/>
          </w:tcPr>
          <w:p>
            <w:pPr>
              <w:pStyle w:val="16"/>
            </w:pPr>
            <w:r>
              <w:t>指标值</w:t>
            </w:r>
          </w:p>
        </w:tc>
        <w:tc>
          <w:tcPr>
            <w:tcW w:w="1843" w:type="dxa"/>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产出指标</w:t>
            </w:r>
          </w:p>
        </w:tc>
        <w:tc>
          <w:tcPr>
            <w:tcW w:w="1574" w:type="dxa"/>
            <w:vAlign w:val="center"/>
          </w:tcPr>
          <w:p>
            <w:pPr>
              <w:pStyle w:val="15"/>
            </w:pPr>
            <w:r>
              <w:t>数量指标</w:t>
            </w:r>
          </w:p>
        </w:tc>
        <w:tc>
          <w:tcPr>
            <w:tcW w:w="1276" w:type="dxa"/>
            <w:vAlign w:val="center"/>
          </w:tcPr>
          <w:p>
            <w:pPr>
              <w:pStyle w:val="15"/>
            </w:pPr>
            <w:r>
              <w:t>利息金额</w:t>
            </w:r>
          </w:p>
        </w:tc>
        <w:tc>
          <w:tcPr>
            <w:tcW w:w="2976" w:type="dxa"/>
            <w:vAlign w:val="center"/>
          </w:tcPr>
          <w:p>
            <w:pPr>
              <w:pStyle w:val="15"/>
            </w:pPr>
            <w:r>
              <w:t>本年度利息收入金额</w:t>
            </w:r>
          </w:p>
        </w:tc>
        <w:tc>
          <w:tcPr>
            <w:tcW w:w="949" w:type="dxa"/>
            <w:vAlign w:val="center"/>
          </w:tcPr>
          <w:p>
            <w:pPr>
              <w:pStyle w:val="15"/>
            </w:pPr>
            <w:r>
              <w:t>100元</w:t>
            </w:r>
          </w:p>
        </w:tc>
        <w:tc>
          <w:tcPr>
            <w:tcW w:w="1843" w:type="dxa"/>
            <w:vAlign w:val="center"/>
          </w:tcPr>
          <w:p>
            <w:pPr>
              <w:pStyle w:val="15"/>
            </w:pPr>
            <w:r>
              <w:t>近三年利息收入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74" w:type="dxa"/>
            <w:vAlign w:val="center"/>
          </w:tcPr>
          <w:p>
            <w:pPr>
              <w:pStyle w:val="15"/>
            </w:pPr>
            <w:r>
              <w:t>质量指标</w:t>
            </w:r>
          </w:p>
        </w:tc>
        <w:tc>
          <w:tcPr>
            <w:tcW w:w="1276" w:type="dxa"/>
            <w:vAlign w:val="center"/>
          </w:tcPr>
          <w:p>
            <w:pPr>
              <w:pStyle w:val="15"/>
            </w:pPr>
            <w:r>
              <w:t>支出率</w:t>
            </w:r>
          </w:p>
        </w:tc>
        <w:tc>
          <w:tcPr>
            <w:tcW w:w="2976" w:type="dxa"/>
            <w:vAlign w:val="center"/>
          </w:tcPr>
          <w:p>
            <w:pPr>
              <w:pStyle w:val="15"/>
            </w:pPr>
            <w:r>
              <w:t>全部利息收入支出情况</w:t>
            </w:r>
          </w:p>
        </w:tc>
        <w:tc>
          <w:tcPr>
            <w:tcW w:w="949" w:type="dxa"/>
            <w:vAlign w:val="center"/>
          </w:tcPr>
          <w:p>
            <w:pPr>
              <w:pStyle w:val="15"/>
            </w:pPr>
            <w:r>
              <w:t>100%</w:t>
            </w:r>
          </w:p>
        </w:tc>
        <w:tc>
          <w:tcPr>
            <w:tcW w:w="1843" w:type="dxa"/>
            <w:vAlign w:val="center"/>
          </w:tcPr>
          <w:p>
            <w:pPr>
              <w:pStyle w:val="15"/>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74" w:type="dxa"/>
            <w:vAlign w:val="center"/>
          </w:tcPr>
          <w:p>
            <w:pPr>
              <w:pStyle w:val="15"/>
            </w:pPr>
            <w:r>
              <w:t>时效指标</w:t>
            </w:r>
          </w:p>
        </w:tc>
        <w:tc>
          <w:tcPr>
            <w:tcW w:w="1276" w:type="dxa"/>
            <w:vAlign w:val="center"/>
          </w:tcPr>
          <w:p>
            <w:pPr>
              <w:pStyle w:val="15"/>
            </w:pPr>
            <w:r>
              <w:t>全部支出时间</w:t>
            </w:r>
          </w:p>
        </w:tc>
        <w:tc>
          <w:tcPr>
            <w:tcW w:w="2976" w:type="dxa"/>
            <w:vAlign w:val="center"/>
          </w:tcPr>
          <w:p>
            <w:pPr>
              <w:pStyle w:val="15"/>
            </w:pPr>
            <w:r>
              <w:t>利息收入全部支出时间节点</w:t>
            </w:r>
          </w:p>
        </w:tc>
        <w:tc>
          <w:tcPr>
            <w:tcW w:w="949" w:type="dxa"/>
            <w:vAlign w:val="center"/>
          </w:tcPr>
          <w:p>
            <w:pPr>
              <w:pStyle w:val="15"/>
            </w:pPr>
            <w:r>
              <w:t>≤12月</w:t>
            </w:r>
          </w:p>
        </w:tc>
        <w:tc>
          <w:tcPr>
            <w:tcW w:w="1843" w:type="dxa"/>
            <w:vAlign w:val="center"/>
          </w:tcPr>
          <w:p>
            <w:pPr>
              <w:pStyle w:val="15"/>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574" w:type="dxa"/>
            <w:vAlign w:val="center"/>
          </w:tcPr>
          <w:p>
            <w:pPr>
              <w:pStyle w:val="15"/>
            </w:pPr>
            <w:r>
              <w:t>成本指标</w:t>
            </w:r>
          </w:p>
        </w:tc>
        <w:tc>
          <w:tcPr>
            <w:tcW w:w="1276" w:type="dxa"/>
            <w:vAlign w:val="center"/>
          </w:tcPr>
          <w:p>
            <w:pPr>
              <w:pStyle w:val="15"/>
            </w:pPr>
            <w:r>
              <w:t>项目完成投入资金情况</w:t>
            </w:r>
          </w:p>
        </w:tc>
        <w:tc>
          <w:tcPr>
            <w:tcW w:w="2976" w:type="dxa"/>
            <w:vAlign w:val="center"/>
          </w:tcPr>
          <w:p>
            <w:pPr>
              <w:pStyle w:val="15"/>
            </w:pPr>
            <w:r>
              <w:t>完成利息收入全部支出完成率</w:t>
            </w:r>
          </w:p>
        </w:tc>
        <w:tc>
          <w:tcPr>
            <w:tcW w:w="949" w:type="dxa"/>
            <w:vAlign w:val="center"/>
          </w:tcPr>
          <w:p>
            <w:pPr>
              <w:pStyle w:val="15"/>
            </w:pPr>
            <w:r>
              <w:t>100%</w:t>
            </w:r>
          </w:p>
        </w:tc>
        <w:tc>
          <w:tcPr>
            <w:tcW w:w="1843" w:type="dxa"/>
            <w:vAlign w:val="center"/>
          </w:tcPr>
          <w:p>
            <w:pPr>
              <w:pStyle w:val="15"/>
            </w:pPr>
            <w:r>
              <w:t>工作需求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效益指标</w:t>
            </w:r>
          </w:p>
        </w:tc>
        <w:tc>
          <w:tcPr>
            <w:tcW w:w="1574" w:type="dxa"/>
            <w:vAlign w:val="center"/>
          </w:tcPr>
          <w:p>
            <w:pPr>
              <w:pStyle w:val="15"/>
            </w:pPr>
            <w:r>
              <w:t>经济效益指标</w:t>
            </w:r>
          </w:p>
        </w:tc>
        <w:tc>
          <w:tcPr>
            <w:tcW w:w="1276" w:type="dxa"/>
            <w:vAlign w:val="center"/>
          </w:tcPr>
          <w:p>
            <w:pPr>
              <w:pStyle w:val="15"/>
            </w:pPr>
            <w:r>
              <w:t>工作完成率</w:t>
            </w:r>
          </w:p>
        </w:tc>
        <w:tc>
          <w:tcPr>
            <w:tcW w:w="2976" w:type="dxa"/>
            <w:vAlign w:val="center"/>
          </w:tcPr>
          <w:p>
            <w:pPr>
              <w:pStyle w:val="15"/>
            </w:pPr>
            <w:r>
              <w:t>补充经费不足，促进工作完成</w:t>
            </w:r>
          </w:p>
        </w:tc>
        <w:tc>
          <w:tcPr>
            <w:tcW w:w="949" w:type="dxa"/>
            <w:vAlign w:val="center"/>
          </w:tcPr>
          <w:p>
            <w:pPr>
              <w:pStyle w:val="15"/>
            </w:pPr>
            <w:r>
              <w:t>≥95%</w:t>
            </w:r>
          </w:p>
        </w:tc>
        <w:tc>
          <w:tcPr>
            <w:tcW w:w="1843" w:type="dxa"/>
            <w:vAlign w:val="center"/>
          </w:tcPr>
          <w:p>
            <w:pPr>
              <w:pStyle w:val="15"/>
            </w:pPr>
            <w:r>
              <w:t>工作需求</w:t>
            </w:r>
          </w:p>
        </w:tc>
      </w:tr>
    </w:tbl>
    <w:p/>
    <w:p>
      <w:pPr>
        <w:spacing w:line="360" w:lineRule="auto"/>
        <w:ind w:firstLine="640" w:firstLineChars="200"/>
        <w:rPr>
          <w:rFonts w:ascii="仿宋" w:hAnsi="仿宋" w:eastAsia="仿宋"/>
          <w:sz w:val="32"/>
          <w:szCs w:val="32"/>
        </w:rPr>
        <w:sectPr>
          <w:pgSz w:w="11907" w:h="16839"/>
          <w:pgMar w:top="1984" w:right="1304" w:bottom="1134" w:left="1304" w:header="851" w:footer="992" w:gutter="0"/>
          <w:cols w:space="425" w:num="1"/>
          <w:docGrid w:type="lines" w:linePitch="312" w:charSpace="0"/>
        </w:sectPr>
      </w:pPr>
    </w:p>
    <w:p/>
    <w:p>
      <w:pPr>
        <w:jc w:val="center"/>
        <w:outlineLvl w:val="0"/>
        <w:rPr>
          <w:rFonts w:ascii="方正小标宋_GBK" w:eastAsia="方正小标宋_GBK"/>
          <w:sz w:val="44"/>
        </w:rPr>
      </w:pPr>
      <w:r>
        <w:rPr>
          <w:rFonts w:hint="eastAsia" w:ascii="方正小标宋_GBK" w:eastAsia="方正小标宋_GBK"/>
          <w:sz w:val="44"/>
        </w:rPr>
        <w:t>第六部分：政府采购预算情况</w:t>
      </w:r>
    </w:p>
    <w:p>
      <w:pPr>
        <w:spacing w:line="360" w:lineRule="auto"/>
        <w:ind w:firstLine="640" w:firstLineChars="200"/>
        <w:rPr>
          <w:rFonts w:ascii="仿宋" w:hAnsi="仿宋" w:eastAsia="仿宋"/>
          <w:sz w:val="32"/>
          <w:szCs w:val="32"/>
        </w:rPr>
      </w:pPr>
      <w:r>
        <w:rPr>
          <w:rFonts w:ascii="仿宋" w:hAnsi="仿宋" w:eastAsia="仿宋"/>
          <w:sz w:val="32"/>
          <w:szCs w:val="32"/>
        </w:rPr>
        <w:t>2022年，我部门无政府采购预算，空表列示。</w:t>
      </w:r>
    </w:p>
    <w:p>
      <w:pPr>
        <w:spacing w:line="360" w:lineRule="auto"/>
        <w:ind w:firstLine="640" w:firstLineChars="200"/>
        <w:rPr>
          <w:rFonts w:ascii="仿宋" w:hAnsi="仿宋" w:eastAsia="仿宋"/>
          <w:sz w:val="32"/>
          <w:szCs w:val="32"/>
        </w:rPr>
      </w:pPr>
      <w:r>
        <w:rPr>
          <w:rFonts w:hint="eastAsia" w:ascii="仿宋" w:hAnsi="仿宋" w:eastAsia="仿宋"/>
          <w:sz w:val="32"/>
          <w:szCs w:val="32"/>
        </w:rPr>
        <w:t>附部门政府采购预算表空表。</w:t>
      </w:r>
    </w:p>
    <w:p>
      <w:pPr>
        <w:spacing w:line="360" w:lineRule="auto"/>
        <w:ind w:firstLine="640" w:firstLineChars="200"/>
        <w:rPr>
          <w:rFonts w:ascii="仿宋" w:hAnsi="仿宋" w:eastAsia="仿宋"/>
          <w:sz w:val="32"/>
          <w:szCs w:val="32"/>
        </w:rPr>
        <w:sectPr>
          <w:footerReference r:id="rId3" w:type="default"/>
          <w:pgSz w:w="11906" w:h="16838"/>
          <w:pgMar w:top="1440" w:right="1800" w:bottom="1440" w:left="1800" w:header="851" w:footer="992" w:gutter="0"/>
          <w:cols w:space="425" w:num="1"/>
          <w:docGrid w:type="lines" w:linePitch="312" w:charSpace="0"/>
        </w:sectPr>
      </w:pPr>
    </w:p>
    <w:p>
      <w:pPr>
        <w:jc w:val="center"/>
        <w:outlineLvl w:val="1"/>
        <w:rPr>
          <w:rFonts w:ascii="Times New Roman" w:hAnsi="宋体" w:eastAsia="宋体"/>
          <w:sz w:val="32"/>
        </w:rPr>
      </w:pPr>
      <w:bookmarkStart w:id="6" w:name="_Toc69809617"/>
      <w:r>
        <w:rPr>
          <w:rFonts w:ascii="方正小标宋_GBK" w:eastAsia="方正小标宋_GBK"/>
          <w:sz w:val="32"/>
        </w:rPr>
        <w:t>部门政府采购预算</w:t>
      </w:r>
      <w:bookmarkEnd w:id="6"/>
    </w:p>
    <w:tbl>
      <w:tblPr>
        <w:tblStyle w:val="5"/>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方正小标宋_GBK" w:eastAsia="方正小标宋_GBK"/>
                <w:sz w:val="24"/>
              </w:rPr>
            </w:pPr>
            <w:r>
              <w:rPr>
                <w:rFonts w:hint="eastAsia" w:ascii="方正小标宋_GBK" w:eastAsia="方正小标宋_GBK"/>
                <w:sz w:val="24"/>
              </w:rPr>
              <w:t>中共保定市徐水区委机构编制委员会办公室</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sz w:val="24"/>
              </w:rPr>
            </w:pPr>
            <w:r>
              <w:rPr>
                <w:rFonts w:ascii="方正书宋_GBK" w:eastAsia="方正书宋_GBK"/>
                <w:sz w:val="24"/>
              </w:rPr>
              <w:t>单位：</w:t>
            </w:r>
            <w:r>
              <w:rPr>
                <w:rFonts w:hint="eastAsia" w:ascii="方正书宋_GBK" w:eastAsia="方正书宋_GBK"/>
                <w:sz w:val="24"/>
              </w:rPr>
              <w:t>万</w:t>
            </w:r>
            <w:r>
              <w:rPr>
                <w:rFonts w:ascii="方正书宋_GBK" w:eastAsia="方正书宋_GBK"/>
                <w:sz w:val="24"/>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政府采购项目来源</w:t>
            </w:r>
          </w:p>
        </w:tc>
        <w:tc>
          <w:tcPr>
            <w:tcW w:w="1531"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采购物品名称</w:t>
            </w:r>
          </w:p>
        </w:tc>
        <w:tc>
          <w:tcPr>
            <w:tcW w:w="1531"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政府采购目录序号</w:t>
            </w:r>
          </w:p>
        </w:tc>
        <w:tc>
          <w:tcPr>
            <w:tcW w:w="709"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计量  单位</w:t>
            </w:r>
          </w:p>
        </w:tc>
        <w:tc>
          <w:tcPr>
            <w:tcW w:w="907"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数量</w:t>
            </w:r>
          </w:p>
        </w:tc>
        <w:tc>
          <w:tcPr>
            <w:tcW w:w="907" w:type="dxa"/>
            <w:vMerge w:val="restart"/>
            <w:shd w:val="clear" w:color="auto" w:fill="auto"/>
            <w:vAlign w:val="center"/>
          </w:tcPr>
          <w:p>
            <w:pPr>
              <w:spacing w:line="300" w:lineRule="exact"/>
              <w:jc w:val="center"/>
              <w:rPr>
                <w:rFonts w:ascii="方正书宋_GBK" w:eastAsia="方正书宋_GBK"/>
                <w:b/>
              </w:rPr>
            </w:pPr>
            <w:r>
              <w:rPr>
                <w:rFonts w:ascii="方正书宋_GBK" w:eastAsia="方正书宋_GBK"/>
                <w:b/>
              </w:rPr>
              <w:t>单价</w:t>
            </w:r>
          </w:p>
        </w:tc>
        <w:tc>
          <w:tcPr>
            <w:tcW w:w="6804" w:type="dxa"/>
            <w:gridSpan w:val="6"/>
            <w:shd w:val="clear" w:color="auto" w:fill="auto"/>
            <w:vAlign w:val="center"/>
          </w:tcPr>
          <w:p>
            <w:pPr>
              <w:spacing w:line="300" w:lineRule="exact"/>
              <w:jc w:val="center"/>
              <w:rPr>
                <w:rFonts w:ascii="方正书宋_GBK" w:eastAsia="方正书宋_GBK"/>
                <w:b/>
              </w:rPr>
            </w:pPr>
            <w:r>
              <w:rPr>
                <w:rFonts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b/>
              </w:rPr>
              <w:t>项目名称</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预算资金</w:t>
            </w: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1531" w:type="dxa"/>
            <w:vMerge w:val="continue"/>
            <w:shd w:val="clear" w:color="auto" w:fill="auto"/>
            <w:vAlign w:val="center"/>
          </w:tcPr>
          <w:p>
            <w:pPr>
              <w:spacing w:line="300" w:lineRule="exact"/>
              <w:jc w:val="left"/>
              <w:outlineLvl w:val="1"/>
              <w:rPr>
                <w:rFonts w:ascii="Times New Roman" w:eastAsia="方正仿宋_GBK"/>
                <w:sz w:val="28"/>
              </w:rPr>
            </w:pPr>
          </w:p>
        </w:tc>
        <w:tc>
          <w:tcPr>
            <w:tcW w:w="709"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907" w:type="dxa"/>
            <w:vMerge w:val="continue"/>
            <w:shd w:val="clear" w:color="auto" w:fill="auto"/>
            <w:vAlign w:val="center"/>
          </w:tcPr>
          <w:p>
            <w:pPr>
              <w:spacing w:line="300" w:lineRule="exact"/>
              <w:jc w:val="left"/>
              <w:outlineLvl w:val="1"/>
              <w:rPr>
                <w:rFonts w:ascii="Times New Roman" w:eastAsia="方正仿宋_GBK"/>
                <w:sz w:val="28"/>
              </w:rPr>
            </w:pP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合计</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一般公共预算拨款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基金预算拨款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国有资本经营预算拨款</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财政专户核拨</w:t>
            </w:r>
          </w:p>
        </w:tc>
        <w:tc>
          <w:tcPr>
            <w:tcW w:w="1134" w:type="dxa"/>
            <w:shd w:val="clear" w:color="auto" w:fill="auto"/>
            <w:vAlign w:val="center"/>
          </w:tcPr>
          <w:p>
            <w:pPr>
              <w:spacing w:line="300" w:lineRule="exact"/>
              <w:jc w:val="center"/>
              <w:rPr>
                <w:rFonts w:ascii="方正书宋_GBK" w:eastAsia="方正书宋_GBK"/>
                <w:b/>
              </w:rPr>
            </w:pPr>
            <w:r>
              <w:rPr>
                <w:rFonts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b/>
              </w:rPr>
            </w:pPr>
            <w:r>
              <w:rPr>
                <w:rFonts w:ascii="方正书宋_GBK" w:eastAsia="方正书宋_GBK"/>
                <w:b/>
              </w:rPr>
              <w:t>合  计</w:t>
            </w: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1531" w:type="dxa"/>
            <w:shd w:val="clear" w:color="auto" w:fill="auto"/>
            <w:vAlign w:val="center"/>
          </w:tcPr>
          <w:p>
            <w:pPr>
              <w:spacing w:line="300" w:lineRule="exact"/>
              <w:jc w:val="left"/>
              <w:rPr>
                <w:rFonts w:ascii="方正书宋_GBK" w:eastAsia="方正书宋_GBK"/>
                <w:b/>
              </w:rPr>
            </w:pPr>
          </w:p>
        </w:tc>
        <w:tc>
          <w:tcPr>
            <w:tcW w:w="709" w:type="dxa"/>
            <w:shd w:val="clear" w:color="auto" w:fill="auto"/>
            <w:vAlign w:val="center"/>
          </w:tcPr>
          <w:p>
            <w:pPr>
              <w:spacing w:line="300" w:lineRule="exact"/>
              <w:jc w:val="center"/>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907"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c>
          <w:tcPr>
            <w:tcW w:w="1134" w:type="dxa"/>
            <w:shd w:val="clear" w:color="auto" w:fill="auto"/>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531" w:type="dxa"/>
            <w:shd w:val="clear" w:color="auto" w:fill="auto"/>
            <w:vAlign w:val="center"/>
          </w:tcPr>
          <w:p>
            <w:pPr>
              <w:spacing w:line="300" w:lineRule="exact"/>
              <w:jc w:val="left"/>
              <w:rPr>
                <w:rFonts w:ascii="方正书宋_GBK" w:eastAsia="方正书宋_GBK"/>
              </w:rPr>
            </w:pPr>
          </w:p>
        </w:tc>
        <w:tc>
          <w:tcPr>
            <w:tcW w:w="1531" w:type="dxa"/>
            <w:shd w:val="clear" w:color="auto" w:fill="auto"/>
            <w:vAlign w:val="center"/>
          </w:tcPr>
          <w:p>
            <w:pPr>
              <w:spacing w:line="300" w:lineRule="exact"/>
              <w:jc w:val="left"/>
              <w:rPr>
                <w:rFonts w:ascii="方正书宋_GBK" w:eastAsia="方正书宋_GBK"/>
              </w:rPr>
            </w:pPr>
          </w:p>
        </w:tc>
        <w:tc>
          <w:tcPr>
            <w:tcW w:w="709" w:type="dxa"/>
            <w:shd w:val="clear" w:color="auto" w:fill="auto"/>
            <w:vAlign w:val="center"/>
          </w:tcPr>
          <w:p>
            <w:pPr>
              <w:spacing w:line="300" w:lineRule="exact"/>
              <w:jc w:val="center"/>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531" w:type="dxa"/>
            <w:shd w:val="clear" w:color="auto" w:fill="auto"/>
            <w:vAlign w:val="center"/>
          </w:tcPr>
          <w:p>
            <w:pPr>
              <w:spacing w:line="300" w:lineRule="exact"/>
              <w:jc w:val="left"/>
              <w:rPr>
                <w:rFonts w:ascii="方正书宋_GBK"/>
              </w:rPr>
            </w:pPr>
          </w:p>
        </w:tc>
        <w:tc>
          <w:tcPr>
            <w:tcW w:w="1531" w:type="dxa"/>
            <w:shd w:val="clear" w:color="auto" w:fill="auto"/>
            <w:vAlign w:val="center"/>
          </w:tcPr>
          <w:p>
            <w:pPr>
              <w:spacing w:line="300" w:lineRule="exact"/>
              <w:jc w:val="left"/>
              <w:rPr>
                <w:rFonts w:ascii="方正书宋_GBK" w:eastAsia="方正书宋_GBK"/>
              </w:rPr>
            </w:pPr>
          </w:p>
        </w:tc>
        <w:tc>
          <w:tcPr>
            <w:tcW w:w="709" w:type="dxa"/>
            <w:shd w:val="clear" w:color="auto" w:fill="auto"/>
            <w:vAlign w:val="center"/>
          </w:tcPr>
          <w:p>
            <w:pPr>
              <w:spacing w:line="300" w:lineRule="exact"/>
              <w:jc w:val="center"/>
              <w:rPr>
                <w:rFonts w:ascii="方正书宋_GBK"/>
              </w:rPr>
            </w:pPr>
          </w:p>
        </w:tc>
        <w:tc>
          <w:tcPr>
            <w:tcW w:w="907" w:type="dxa"/>
            <w:shd w:val="clear" w:color="auto" w:fill="auto"/>
            <w:vAlign w:val="center"/>
          </w:tcPr>
          <w:p>
            <w:pPr>
              <w:spacing w:line="300" w:lineRule="exact"/>
              <w:jc w:val="right"/>
              <w:rPr>
                <w:rFonts w:ascii="方正书宋_GBK" w:eastAsia="方正书宋_GBK"/>
              </w:rPr>
            </w:pPr>
          </w:p>
        </w:tc>
        <w:tc>
          <w:tcPr>
            <w:tcW w:w="907"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c>
          <w:tcPr>
            <w:tcW w:w="1134" w:type="dxa"/>
            <w:shd w:val="clear" w:color="auto" w:fill="auto"/>
            <w:vAlign w:val="center"/>
          </w:tcPr>
          <w:p>
            <w:pPr>
              <w:spacing w:line="300" w:lineRule="exact"/>
              <w:jc w:val="right"/>
              <w:rPr>
                <w:rFonts w:ascii="方正书宋_GBK" w:eastAsia="方正书宋_GBK"/>
              </w:rPr>
            </w:pPr>
          </w:p>
        </w:tc>
      </w:tr>
    </w:tbl>
    <w:p>
      <w:pPr>
        <w:spacing w:line="360" w:lineRule="auto"/>
        <w:rPr>
          <w:rFonts w:ascii="仿宋" w:hAnsi="仿宋" w:eastAsia="仿宋"/>
          <w:sz w:val="32"/>
          <w:szCs w:val="32"/>
        </w:rPr>
        <w:sectPr>
          <w:pgSz w:w="16838" w:h="11906" w:orient="landscape"/>
          <w:pgMar w:top="1797" w:right="1440" w:bottom="1797" w:left="1440" w:header="851" w:footer="992" w:gutter="0"/>
          <w:cols w:space="425" w:num="1"/>
          <w:docGrid w:type="linesAndChars" w:linePitch="312" w:charSpace="0"/>
        </w:sectPr>
      </w:pPr>
    </w:p>
    <w:p>
      <w:pPr>
        <w:spacing w:line="360" w:lineRule="auto"/>
        <w:rPr>
          <w:rFonts w:ascii="仿宋" w:hAnsi="仿宋" w:eastAsia="仿宋"/>
          <w:sz w:val="32"/>
          <w:szCs w:val="32"/>
        </w:rPr>
      </w:pPr>
    </w:p>
    <w:p>
      <w:pPr>
        <w:jc w:val="center"/>
        <w:outlineLvl w:val="0"/>
        <w:rPr>
          <w:rFonts w:ascii="方正小标宋_GBK" w:eastAsia="方正小标宋_GBK"/>
          <w:sz w:val="44"/>
        </w:rPr>
      </w:pPr>
      <w:r>
        <w:rPr>
          <w:rFonts w:hint="eastAsia" w:ascii="方正小标宋_GBK" w:eastAsia="方正小标宋_GBK"/>
          <w:sz w:val="44"/>
        </w:rPr>
        <w:t>第七部分：国有资产信息</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上年末我部门固定资产总金额为40.25万元（详见下表）。</w:t>
      </w:r>
      <w:r>
        <w:rPr>
          <w:rFonts w:ascii="仿宋" w:hAnsi="仿宋" w:eastAsia="仿宋"/>
          <w:sz w:val="32"/>
          <w:szCs w:val="32"/>
        </w:rPr>
        <w:t xml:space="preserve"> </w:t>
      </w:r>
      <w:r>
        <w:rPr>
          <w:rFonts w:hint="eastAsia" w:ascii="仿宋" w:hAnsi="仿宋" w:eastAsia="仿宋"/>
          <w:sz w:val="32"/>
          <w:szCs w:val="32"/>
        </w:rPr>
        <w:t>我部门本年度无国有资产购置计划，拟购置金额为</w:t>
      </w:r>
      <w:r>
        <w:rPr>
          <w:rFonts w:ascii="仿宋" w:hAnsi="仿宋" w:eastAsia="仿宋"/>
          <w:sz w:val="32"/>
          <w:szCs w:val="32"/>
        </w:rPr>
        <w:t>0。</w:t>
      </w:r>
    </w:p>
    <w:tbl>
      <w:tblPr>
        <w:tblStyle w:val="5"/>
        <w:tblW w:w="10084" w:type="dxa"/>
        <w:jc w:val="center"/>
        <w:tblLayout w:type="autofit"/>
        <w:tblCellMar>
          <w:top w:w="0" w:type="dxa"/>
          <w:left w:w="108" w:type="dxa"/>
          <w:bottom w:w="0" w:type="dxa"/>
          <w:right w:w="108" w:type="dxa"/>
        </w:tblCellMar>
      </w:tblPr>
      <w:tblGrid>
        <w:gridCol w:w="4788"/>
        <w:gridCol w:w="1035"/>
        <w:gridCol w:w="4261"/>
      </w:tblGrid>
      <w:tr>
        <w:tblPrEx>
          <w:tblCellMar>
            <w:top w:w="0" w:type="dxa"/>
            <w:left w:w="108" w:type="dxa"/>
            <w:bottom w:w="0" w:type="dxa"/>
            <w:right w:w="108" w:type="dxa"/>
          </w:tblCellMar>
        </w:tblPrEx>
        <w:trPr>
          <w:trHeight w:val="510" w:hRule="atLeast"/>
          <w:jc w:val="center"/>
        </w:trPr>
        <w:tc>
          <w:tcPr>
            <w:tcW w:w="10084" w:type="dxa"/>
            <w:gridSpan w:val="3"/>
            <w:tcBorders>
              <w:top w:val="nil"/>
              <w:left w:val="nil"/>
              <w:bottom w:val="nil"/>
              <w:right w:val="nil"/>
            </w:tcBorders>
            <w:shd w:val="clear" w:color="auto" w:fill="auto"/>
            <w:noWrap/>
            <w:vAlign w:val="center"/>
          </w:tcPr>
          <w:p>
            <w:pPr>
              <w:widowControl/>
              <w:jc w:val="center"/>
              <w:rPr>
                <w:rFonts w:ascii="宋体" w:hAnsi="宋体" w:cs="宋体"/>
                <w:kern w:val="0"/>
                <w:sz w:val="28"/>
                <w:szCs w:val="28"/>
              </w:rPr>
            </w:pPr>
            <w:r>
              <w:rPr>
                <w:rFonts w:hint="eastAsia" w:ascii="宋体" w:hAnsi="宋体"/>
                <w:sz w:val="32"/>
                <w:szCs w:val="32"/>
              </w:rPr>
              <w:t>固定资产占用情况表</w:t>
            </w:r>
          </w:p>
        </w:tc>
      </w:tr>
      <w:tr>
        <w:tblPrEx>
          <w:tblCellMar>
            <w:top w:w="0" w:type="dxa"/>
            <w:left w:w="108" w:type="dxa"/>
            <w:bottom w:w="0" w:type="dxa"/>
            <w:right w:w="108" w:type="dxa"/>
          </w:tblCellMar>
        </w:tblPrEx>
        <w:trPr>
          <w:trHeight w:val="510" w:hRule="atLeast"/>
          <w:jc w:val="center"/>
        </w:trPr>
        <w:tc>
          <w:tcPr>
            <w:tcW w:w="10084" w:type="dxa"/>
            <w:gridSpan w:val="3"/>
            <w:tcBorders>
              <w:top w:val="nil"/>
              <w:left w:val="nil"/>
              <w:bottom w:val="single" w:color="auto" w:sz="4" w:space="0"/>
              <w:right w:val="nil"/>
            </w:tcBorders>
            <w:shd w:val="clear" w:color="auto" w:fill="auto"/>
            <w:noWrap/>
            <w:vAlign w:val="center"/>
          </w:tcPr>
          <w:p>
            <w:pPr>
              <w:widowControl/>
              <w:jc w:val="center"/>
              <w:rPr>
                <w:rFonts w:ascii="仿宋_GB2312" w:hAnsi="仿宋" w:eastAsia="仿宋_GB2312" w:cs="宋体"/>
                <w:kern w:val="0"/>
                <w:sz w:val="28"/>
                <w:szCs w:val="28"/>
              </w:rPr>
            </w:pPr>
            <w:r>
              <w:rPr>
                <w:rFonts w:hint="eastAsia" w:ascii="仿宋_GB2312" w:hAnsi="仿宋" w:eastAsia="仿宋_GB2312" w:cs="宋体"/>
                <w:bCs/>
                <w:kern w:val="0"/>
                <w:sz w:val="32"/>
                <w:szCs w:val="32"/>
              </w:rPr>
              <w:t xml:space="preserve">                           </w:t>
            </w:r>
            <w:r>
              <w:rPr>
                <w:rFonts w:hint="eastAsia" w:ascii="仿宋_GB2312" w:hAnsi="仿宋" w:eastAsia="仿宋_GB2312" w:cs="宋体"/>
                <w:bCs/>
                <w:kern w:val="0"/>
                <w:sz w:val="28"/>
                <w:szCs w:val="28"/>
              </w:rPr>
              <w:t>截止时间：</w:t>
            </w:r>
            <w:r>
              <w:rPr>
                <w:rFonts w:ascii="仿宋_GB2312" w:hAnsi="仿宋" w:eastAsia="仿宋_GB2312" w:cs="宋体"/>
                <w:bCs/>
                <w:kern w:val="0"/>
                <w:sz w:val="28"/>
                <w:szCs w:val="28"/>
              </w:rPr>
              <w:t>2021</w:t>
            </w:r>
            <w:r>
              <w:rPr>
                <w:rFonts w:hint="eastAsia" w:ascii="仿宋_GB2312" w:hAnsi="仿宋" w:eastAsia="仿宋_GB2312" w:cs="宋体"/>
                <w:bCs/>
                <w:kern w:val="0"/>
                <w:sz w:val="28"/>
                <w:szCs w:val="28"/>
              </w:rPr>
              <w:t>年12月31日</w:t>
            </w:r>
          </w:p>
        </w:tc>
      </w:tr>
      <w:tr>
        <w:tblPrEx>
          <w:tblCellMar>
            <w:top w:w="0" w:type="dxa"/>
            <w:left w:w="108" w:type="dxa"/>
            <w:bottom w:w="0" w:type="dxa"/>
            <w:right w:w="108" w:type="dxa"/>
          </w:tblCellMar>
        </w:tblPrEx>
        <w:trPr>
          <w:trHeight w:val="510" w:hRule="atLeast"/>
          <w:jc w:val="center"/>
        </w:trPr>
        <w:tc>
          <w:tcPr>
            <w:tcW w:w="47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项　　目</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数量</w:t>
            </w:r>
          </w:p>
        </w:tc>
        <w:tc>
          <w:tcPr>
            <w:tcW w:w="42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价值（单位：万元）</w:t>
            </w:r>
          </w:p>
        </w:tc>
      </w:tr>
      <w:tr>
        <w:tblPrEx>
          <w:tblCellMar>
            <w:top w:w="0" w:type="dxa"/>
            <w:left w:w="108" w:type="dxa"/>
            <w:bottom w:w="0" w:type="dxa"/>
            <w:right w:w="108" w:type="dxa"/>
          </w:tblCellMar>
        </w:tblPrEx>
        <w:trPr>
          <w:trHeight w:val="510" w:hRule="atLeast"/>
          <w:jc w:val="center"/>
        </w:trPr>
        <w:tc>
          <w:tcPr>
            <w:tcW w:w="478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kern w:val="0"/>
                <w:sz w:val="24"/>
                <w:szCs w:val="24"/>
              </w:rPr>
            </w:pPr>
            <w:r>
              <w:rPr>
                <w:rFonts w:hint="eastAsia" w:ascii="仿宋_GB2312" w:hAnsi="仿宋" w:eastAsia="仿宋_GB2312" w:cs="宋体"/>
                <w:b/>
                <w:bCs/>
                <w:kern w:val="0"/>
                <w:sz w:val="24"/>
                <w:szCs w:val="24"/>
              </w:rPr>
              <w:t>固定资产总额</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kern w:val="0"/>
                <w:sz w:val="24"/>
                <w:szCs w:val="24"/>
              </w:rPr>
            </w:pPr>
            <w:r>
              <w:rPr>
                <w:rFonts w:hint="eastAsia" w:ascii="仿宋_GB2312" w:hAnsi="仿宋" w:eastAsia="仿宋_GB2312" w:cs="宋体"/>
                <w:b/>
                <w:kern w:val="0"/>
                <w:sz w:val="24"/>
                <w:szCs w:val="24"/>
              </w:rPr>
              <w:t>--</w:t>
            </w:r>
          </w:p>
        </w:tc>
        <w:tc>
          <w:tcPr>
            <w:tcW w:w="42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kern w:val="0"/>
                <w:sz w:val="24"/>
                <w:szCs w:val="24"/>
              </w:rPr>
            </w:pPr>
          </w:p>
        </w:tc>
      </w:tr>
      <w:tr>
        <w:tblPrEx>
          <w:tblCellMar>
            <w:top w:w="0" w:type="dxa"/>
            <w:left w:w="108" w:type="dxa"/>
            <w:bottom w:w="0" w:type="dxa"/>
            <w:right w:w="108" w:type="dxa"/>
          </w:tblCellMar>
        </w:tblPrEx>
        <w:trPr>
          <w:trHeight w:val="510" w:hRule="atLeast"/>
          <w:jc w:val="center"/>
        </w:trPr>
        <w:tc>
          <w:tcPr>
            <w:tcW w:w="478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  1、房屋（平方米）</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p>
        </w:tc>
        <w:tc>
          <w:tcPr>
            <w:tcW w:w="42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p>
        </w:tc>
      </w:tr>
      <w:tr>
        <w:tblPrEx>
          <w:tblCellMar>
            <w:top w:w="0" w:type="dxa"/>
            <w:left w:w="108" w:type="dxa"/>
            <w:bottom w:w="0" w:type="dxa"/>
            <w:right w:w="108" w:type="dxa"/>
          </w:tblCellMar>
        </w:tblPrEx>
        <w:trPr>
          <w:trHeight w:val="510" w:hRule="atLeast"/>
          <w:jc w:val="center"/>
        </w:trPr>
        <w:tc>
          <w:tcPr>
            <w:tcW w:w="47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   其中：办公用房（平方米）</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kern w:val="0"/>
                <w:sz w:val="24"/>
                <w:szCs w:val="24"/>
              </w:rPr>
            </w:pPr>
          </w:p>
        </w:tc>
        <w:tc>
          <w:tcPr>
            <w:tcW w:w="426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kern w:val="0"/>
                <w:sz w:val="24"/>
                <w:szCs w:val="24"/>
              </w:rPr>
            </w:pPr>
          </w:p>
        </w:tc>
      </w:tr>
      <w:tr>
        <w:tblPrEx>
          <w:tblCellMar>
            <w:top w:w="0" w:type="dxa"/>
            <w:left w:w="108" w:type="dxa"/>
            <w:bottom w:w="0" w:type="dxa"/>
            <w:right w:w="108" w:type="dxa"/>
          </w:tblCellMar>
        </w:tblPrEx>
        <w:trPr>
          <w:trHeight w:val="510" w:hRule="atLeast"/>
          <w:jc w:val="center"/>
        </w:trPr>
        <w:tc>
          <w:tcPr>
            <w:tcW w:w="478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  2、车辆（台、辆）</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w:t>
            </w:r>
          </w:p>
        </w:tc>
        <w:tc>
          <w:tcPr>
            <w:tcW w:w="42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19.89</w:t>
            </w:r>
          </w:p>
        </w:tc>
      </w:tr>
      <w:tr>
        <w:tblPrEx>
          <w:tblCellMar>
            <w:top w:w="0" w:type="dxa"/>
            <w:left w:w="108" w:type="dxa"/>
            <w:bottom w:w="0" w:type="dxa"/>
            <w:right w:w="108" w:type="dxa"/>
          </w:tblCellMar>
        </w:tblPrEx>
        <w:trPr>
          <w:trHeight w:val="510" w:hRule="atLeast"/>
          <w:jc w:val="center"/>
        </w:trPr>
        <w:tc>
          <w:tcPr>
            <w:tcW w:w="478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  3、单价在50万元以上的设备(台、套)</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p>
        </w:tc>
        <w:tc>
          <w:tcPr>
            <w:tcW w:w="4261"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p>
        </w:tc>
      </w:tr>
      <w:tr>
        <w:tblPrEx>
          <w:tblCellMar>
            <w:top w:w="0" w:type="dxa"/>
            <w:left w:w="108" w:type="dxa"/>
            <w:bottom w:w="0" w:type="dxa"/>
            <w:right w:w="108" w:type="dxa"/>
          </w:tblCellMar>
        </w:tblPrEx>
        <w:trPr>
          <w:trHeight w:val="510" w:hRule="atLeast"/>
          <w:jc w:val="center"/>
        </w:trPr>
        <w:tc>
          <w:tcPr>
            <w:tcW w:w="47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其中：单价50万元（含）以上的通用设备</w:t>
            </w:r>
          </w:p>
        </w:tc>
        <w:tc>
          <w:tcPr>
            <w:tcW w:w="103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p>
        </w:tc>
        <w:tc>
          <w:tcPr>
            <w:tcW w:w="4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p>
        </w:tc>
      </w:tr>
      <w:tr>
        <w:tblPrEx>
          <w:tblCellMar>
            <w:top w:w="0" w:type="dxa"/>
            <w:left w:w="108" w:type="dxa"/>
            <w:bottom w:w="0" w:type="dxa"/>
            <w:right w:w="108" w:type="dxa"/>
          </w:tblCellMar>
        </w:tblPrEx>
        <w:trPr>
          <w:trHeight w:val="510" w:hRule="atLeast"/>
          <w:jc w:val="center"/>
        </w:trPr>
        <w:tc>
          <w:tcPr>
            <w:tcW w:w="47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     单价100万元（含）以上的专用设备</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p>
        </w:tc>
        <w:tc>
          <w:tcPr>
            <w:tcW w:w="426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kern w:val="0"/>
                <w:sz w:val="24"/>
                <w:szCs w:val="24"/>
              </w:rPr>
            </w:pPr>
          </w:p>
        </w:tc>
      </w:tr>
      <w:tr>
        <w:tblPrEx>
          <w:tblCellMar>
            <w:top w:w="0" w:type="dxa"/>
            <w:left w:w="108" w:type="dxa"/>
            <w:bottom w:w="0" w:type="dxa"/>
            <w:right w:w="108" w:type="dxa"/>
          </w:tblCellMar>
        </w:tblPrEx>
        <w:trPr>
          <w:trHeight w:val="510" w:hRule="atLeast"/>
          <w:jc w:val="center"/>
        </w:trPr>
        <w:tc>
          <w:tcPr>
            <w:tcW w:w="478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left"/>
              <w:rPr>
                <w:rFonts w:ascii="仿宋_GB2312" w:hAnsi="仿宋" w:eastAsia="仿宋_GB2312" w:cs="宋体"/>
                <w:kern w:val="0"/>
                <w:sz w:val="24"/>
                <w:szCs w:val="24"/>
              </w:rPr>
            </w:pPr>
            <w:r>
              <w:rPr>
                <w:rFonts w:hint="eastAsia" w:ascii="仿宋_GB2312" w:hAnsi="仿宋" w:eastAsia="仿宋_GB2312" w:cs="宋体"/>
                <w:kern w:val="0"/>
                <w:sz w:val="24"/>
                <w:szCs w:val="24"/>
              </w:rPr>
              <w:t xml:space="preserve">  4、其他固定资产</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83</w:t>
            </w:r>
          </w:p>
        </w:tc>
        <w:tc>
          <w:tcPr>
            <w:tcW w:w="4261"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kern w:val="0"/>
                <w:sz w:val="24"/>
                <w:szCs w:val="24"/>
              </w:rPr>
            </w:pPr>
            <w:r>
              <w:rPr>
                <w:rFonts w:hint="eastAsia" w:ascii="仿宋_GB2312" w:hAnsi="仿宋" w:eastAsia="仿宋_GB2312" w:cs="宋体"/>
                <w:kern w:val="0"/>
                <w:sz w:val="24"/>
                <w:szCs w:val="24"/>
              </w:rPr>
              <w:t>20.36</w:t>
            </w:r>
          </w:p>
        </w:tc>
      </w:tr>
    </w:tbl>
    <w:p>
      <w:pPr>
        <w:spacing w:line="360" w:lineRule="auto"/>
        <w:rPr>
          <w:rFonts w:ascii="黑体" w:hAnsi="黑体" w:eastAsia="黑体" w:cs="Times New Roman"/>
          <w:sz w:val="32"/>
          <w:szCs w:val="32"/>
        </w:rPr>
      </w:pPr>
    </w:p>
    <w:p>
      <w:pPr>
        <w:jc w:val="center"/>
        <w:outlineLvl w:val="0"/>
        <w:rPr>
          <w:rFonts w:ascii="方正小标宋_GBK" w:eastAsia="方正小标宋_GBK"/>
          <w:sz w:val="44"/>
        </w:rPr>
      </w:pPr>
    </w:p>
    <w:p>
      <w:pPr>
        <w:jc w:val="center"/>
        <w:outlineLvl w:val="0"/>
        <w:rPr>
          <w:rFonts w:ascii="方正小标宋_GBK" w:eastAsia="方正小标宋_GBK"/>
          <w:sz w:val="44"/>
        </w:rPr>
      </w:pPr>
    </w:p>
    <w:p>
      <w:pPr>
        <w:jc w:val="center"/>
        <w:outlineLvl w:val="0"/>
        <w:rPr>
          <w:rFonts w:ascii="方正小标宋_GBK" w:eastAsia="方正小标宋_GBK"/>
          <w:sz w:val="44"/>
        </w:rPr>
      </w:pPr>
      <w:r>
        <w:rPr>
          <w:rFonts w:hint="eastAsia" w:ascii="方正小标宋_GBK" w:eastAsia="方正小标宋_GBK"/>
          <w:sz w:val="44"/>
        </w:rPr>
        <w:t>第八部分：名词解释</w:t>
      </w:r>
    </w:p>
    <w:p>
      <w:pPr>
        <w:spacing w:line="360" w:lineRule="auto"/>
        <w:ind w:firstLine="640" w:firstLineChars="200"/>
        <w:rPr>
          <w:rFonts w:ascii="仿宋" w:hAnsi="仿宋" w:eastAsia="仿宋"/>
          <w:sz w:val="32"/>
          <w:szCs w:val="32"/>
        </w:rPr>
      </w:pPr>
      <w:r>
        <w:rPr>
          <w:rFonts w:ascii="仿宋" w:hAnsi="仿宋" w:eastAsia="仿宋"/>
          <w:sz w:val="32"/>
          <w:szCs w:val="32"/>
        </w:rPr>
        <w:t>1、一般公共预算财政拨款收入：指区级财政当年拨付的资金。</w:t>
      </w:r>
    </w:p>
    <w:p>
      <w:pPr>
        <w:spacing w:line="360" w:lineRule="auto"/>
        <w:ind w:firstLine="640" w:firstLineChars="200"/>
        <w:rPr>
          <w:rFonts w:ascii="仿宋" w:hAnsi="仿宋" w:eastAsia="仿宋"/>
          <w:sz w:val="32"/>
          <w:szCs w:val="32"/>
        </w:rPr>
      </w:pPr>
      <w:r>
        <w:rPr>
          <w:rFonts w:ascii="仿宋" w:hAnsi="仿宋" w:eastAsia="仿宋"/>
          <w:sz w:val="32"/>
          <w:szCs w:val="32"/>
        </w:rPr>
        <w:t>2、其他收入：指除上述“财政拨款收入”、“事业收入”等以外的收入。</w:t>
      </w:r>
    </w:p>
    <w:p>
      <w:pPr>
        <w:spacing w:line="360" w:lineRule="auto"/>
        <w:ind w:firstLine="640" w:firstLineChars="200"/>
        <w:rPr>
          <w:rFonts w:ascii="仿宋" w:hAnsi="仿宋" w:eastAsia="仿宋"/>
          <w:sz w:val="32"/>
          <w:szCs w:val="32"/>
        </w:rPr>
      </w:pPr>
      <w:r>
        <w:rPr>
          <w:rFonts w:ascii="仿宋" w:hAnsi="仿宋" w:eastAsia="仿宋"/>
          <w:sz w:val="32"/>
          <w:szCs w:val="32"/>
        </w:rPr>
        <w:t>3、基本支出：指为保障机构正常运转、完成日常工作任务而发生的人员支出和公用支出。</w:t>
      </w:r>
    </w:p>
    <w:p>
      <w:pPr>
        <w:spacing w:line="360" w:lineRule="auto"/>
        <w:ind w:firstLine="640" w:firstLineChars="200"/>
        <w:rPr>
          <w:rFonts w:ascii="仿宋" w:hAnsi="仿宋" w:eastAsia="仿宋"/>
          <w:sz w:val="32"/>
          <w:szCs w:val="32"/>
        </w:rPr>
      </w:pPr>
      <w:r>
        <w:rPr>
          <w:rFonts w:ascii="仿宋" w:hAnsi="仿宋" w:eastAsia="仿宋"/>
          <w:sz w:val="32"/>
          <w:szCs w:val="32"/>
        </w:rPr>
        <w:t>4、项目支出：指在基本支出之外为完成特定行政任务和事业发展目标所发生的支出。</w:t>
      </w:r>
    </w:p>
    <w:p>
      <w:pPr>
        <w:spacing w:line="360" w:lineRule="auto"/>
        <w:ind w:firstLine="640" w:firstLineChars="200"/>
        <w:rPr>
          <w:rFonts w:ascii="仿宋" w:hAnsi="仿宋" w:eastAsia="仿宋"/>
          <w:sz w:val="32"/>
          <w:szCs w:val="32"/>
        </w:rPr>
      </w:pPr>
      <w:r>
        <w:rPr>
          <w:rFonts w:ascii="仿宋" w:hAnsi="仿宋" w:eastAsia="仿宋"/>
          <w:sz w:val="32"/>
          <w:szCs w:val="32"/>
        </w:rPr>
        <w:t>5、“三公”经费：纳入区级财政预算管理的“三公”经费，是指区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360" w:lineRule="auto"/>
        <w:ind w:firstLine="640" w:firstLineChars="200"/>
        <w:rPr>
          <w:rFonts w:ascii="仿宋" w:hAnsi="仿宋" w:eastAsia="仿宋"/>
          <w:sz w:val="32"/>
          <w:szCs w:val="32"/>
        </w:rPr>
      </w:pPr>
      <w:r>
        <w:rPr>
          <w:rFonts w:ascii="仿宋" w:hAnsi="仿宋" w:eastAsia="仿宋"/>
          <w:sz w:val="32"/>
          <w:szCs w:val="32"/>
        </w:rPr>
        <w:t>6、机关运行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360" w:lineRule="auto"/>
        <w:jc w:val="center"/>
        <w:rPr>
          <w:rFonts w:ascii="黑体" w:hAnsi="黑体" w:eastAsia="黑体" w:cs="Times New Roman"/>
          <w:sz w:val="32"/>
          <w:szCs w:val="32"/>
        </w:rPr>
      </w:pPr>
    </w:p>
    <w:p>
      <w:pPr>
        <w:jc w:val="center"/>
        <w:outlineLvl w:val="0"/>
        <w:rPr>
          <w:rFonts w:ascii="方正小标宋_GBK" w:eastAsia="方正小标宋_GBK"/>
          <w:sz w:val="44"/>
        </w:rPr>
      </w:pPr>
      <w:r>
        <w:rPr>
          <w:rFonts w:hint="eastAsia" w:ascii="方正小标宋_GBK" w:eastAsia="方正小标宋_GBK"/>
          <w:sz w:val="44"/>
        </w:rPr>
        <w:t>第九部分：其他需说明的事项</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我部门无其他需说明的事项。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Arial Unicode MS"/>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172596"/>
    </w:sdtPr>
    <w:sdtContent>
      <w:p>
        <w:pPr>
          <w:pStyle w:val="3"/>
          <w:jc w:val="center"/>
        </w:pPr>
        <w:r>
          <w:fldChar w:fldCharType="begin"/>
        </w:r>
        <w:r>
          <w:instrText xml:space="preserve">PAGE   \* MERGEFORMAT</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F1F"/>
    <w:rsid w:val="00013B8A"/>
    <w:rsid w:val="00020F00"/>
    <w:rsid w:val="00044FBC"/>
    <w:rsid w:val="00055F1F"/>
    <w:rsid w:val="000577EF"/>
    <w:rsid w:val="00057F18"/>
    <w:rsid w:val="000977CE"/>
    <w:rsid w:val="000A445D"/>
    <w:rsid w:val="000C178B"/>
    <w:rsid w:val="00131DEC"/>
    <w:rsid w:val="00136AB3"/>
    <w:rsid w:val="001462BD"/>
    <w:rsid w:val="00152380"/>
    <w:rsid w:val="001638BE"/>
    <w:rsid w:val="00164810"/>
    <w:rsid w:val="00172C7A"/>
    <w:rsid w:val="00181777"/>
    <w:rsid w:val="001B4688"/>
    <w:rsid w:val="001B6235"/>
    <w:rsid w:val="001F4875"/>
    <w:rsid w:val="00212335"/>
    <w:rsid w:val="002505E5"/>
    <w:rsid w:val="002918C6"/>
    <w:rsid w:val="00291EF3"/>
    <w:rsid w:val="00296524"/>
    <w:rsid w:val="002E01F6"/>
    <w:rsid w:val="002F1ACB"/>
    <w:rsid w:val="002F530F"/>
    <w:rsid w:val="00305E97"/>
    <w:rsid w:val="00310532"/>
    <w:rsid w:val="0032782B"/>
    <w:rsid w:val="00340B3D"/>
    <w:rsid w:val="0034253A"/>
    <w:rsid w:val="003669CF"/>
    <w:rsid w:val="00367A30"/>
    <w:rsid w:val="003A06D2"/>
    <w:rsid w:val="003A4557"/>
    <w:rsid w:val="003A6366"/>
    <w:rsid w:val="003B213A"/>
    <w:rsid w:val="003C2317"/>
    <w:rsid w:val="003C442E"/>
    <w:rsid w:val="003D1092"/>
    <w:rsid w:val="003D37CD"/>
    <w:rsid w:val="003E5531"/>
    <w:rsid w:val="003E555C"/>
    <w:rsid w:val="003E6AF3"/>
    <w:rsid w:val="0040243C"/>
    <w:rsid w:val="00406BD1"/>
    <w:rsid w:val="00426C19"/>
    <w:rsid w:val="00445311"/>
    <w:rsid w:val="00450FD9"/>
    <w:rsid w:val="00453CE0"/>
    <w:rsid w:val="00470736"/>
    <w:rsid w:val="00470BBB"/>
    <w:rsid w:val="0048611E"/>
    <w:rsid w:val="004B6929"/>
    <w:rsid w:val="004E2F43"/>
    <w:rsid w:val="004E3572"/>
    <w:rsid w:val="004F3C52"/>
    <w:rsid w:val="00510A1E"/>
    <w:rsid w:val="005158E2"/>
    <w:rsid w:val="00524204"/>
    <w:rsid w:val="00550049"/>
    <w:rsid w:val="00553F7E"/>
    <w:rsid w:val="00570142"/>
    <w:rsid w:val="00586C35"/>
    <w:rsid w:val="00591DF0"/>
    <w:rsid w:val="005B1B6F"/>
    <w:rsid w:val="005B6CCB"/>
    <w:rsid w:val="005C54AA"/>
    <w:rsid w:val="005C7639"/>
    <w:rsid w:val="005C7B89"/>
    <w:rsid w:val="0062788A"/>
    <w:rsid w:val="00641F8A"/>
    <w:rsid w:val="0066383B"/>
    <w:rsid w:val="00671DBA"/>
    <w:rsid w:val="006A6FA2"/>
    <w:rsid w:val="006B5117"/>
    <w:rsid w:val="006C62DF"/>
    <w:rsid w:val="006F5104"/>
    <w:rsid w:val="006F6549"/>
    <w:rsid w:val="00735B02"/>
    <w:rsid w:val="007657C8"/>
    <w:rsid w:val="00767A77"/>
    <w:rsid w:val="00771E49"/>
    <w:rsid w:val="00782208"/>
    <w:rsid w:val="00791938"/>
    <w:rsid w:val="007A5999"/>
    <w:rsid w:val="007B3667"/>
    <w:rsid w:val="007C7FD7"/>
    <w:rsid w:val="007F3746"/>
    <w:rsid w:val="00833132"/>
    <w:rsid w:val="00845C67"/>
    <w:rsid w:val="0086454E"/>
    <w:rsid w:val="008672EA"/>
    <w:rsid w:val="00891680"/>
    <w:rsid w:val="008A0099"/>
    <w:rsid w:val="008A0B5F"/>
    <w:rsid w:val="008B5402"/>
    <w:rsid w:val="008D11BC"/>
    <w:rsid w:val="0090527E"/>
    <w:rsid w:val="00905BB7"/>
    <w:rsid w:val="0090620C"/>
    <w:rsid w:val="00912DA4"/>
    <w:rsid w:val="009302B8"/>
    <w:rsid w:val="009305C6"/>
    <w:rsid w:val="009752AE"/>
    <w:rsid w:val="00982F3D"/>
    <w:rsid w:val="00983232"/>
    <w:rsid w:val="00986A9C"/>
    <w:rsid w:val="009A278A"/>
    <w:rsid w:val="009A3349"/>
    <w:rsid w:val="009B6368"/>
    <w:rsid w:val="009F63C4"/>
    <w:rsid w:val="00A16957"/>
    <w:rsid w:val="00A6155C"/>
    <w:rsid w:val="00A8079E"/>
    <w:rsid w:val="00A90328"/>
    <w:rsid w:val="00A92D66"/>
    <w:rsid w:val="00A95A23"/>
    <w:rsid w:val="00AA4262"/>
    <w:rsid w:val="00AB5A90"/>
    <w:rsid w:val="00AB7449"/>
    <w:rsid w:val="00AE4AA5"/>
    <w:rsid w:val="00AE7FA9"/>
    <w:rsid w:val="00B147EB"/>
    <w:rsid w:val="00B22155"/>
    <w:rsid w:val="00B76AA9"/>
    <w:rsid w:val="00B80FAB"/>
    <w:rsid w:val="00B81C88"/>
    <w:rsid w:val="00BA5C83"/>
    <w:rsid w:val="00BC6A7D"/>
    <w:rsid w:val="00BD4829"/>
    <w:rsid w:val="00BD6002"/>
    <w:rsid w:val="00BD719F"/>
    <w:rsid w:val="00BF5442"/>
    <w:rsid w:val="00C177A5"/>
    <w:rsid w:val="00C35FEE"/>
    <w:rsid w:val="00C50535"/>
    <w:rsid w:val="00C6153C"/>
    <w:rsid w:val="00C906EF"/>
    <w:rsid w:val="00CC7D74"/>
    <w:rsid w:val="00D02F97"/>
    <w:rsid w:val="00D45530"/>
    <w:rsid w:val="00D45A0E"/>
    <w:rsid w:val="00D45D23"/>
    <w:rsid w:val="00D723D1"/>
    <w:rsid w:val="00D80C60"/>
    <w:rsid w:val="00D8525F"/>
    <w:rsid w:val="00DA075B"/>
    <w:rsid w:val="00DA0C4D"/>
    <w:rsid w:val="00DA5DA7"/>
    <w:rsid w:val="00DE3935"/>
    <w:rsid w:val="00DE6B32"/>
    <w:rsid w:val="00DF26B8"/>
    <w:rsid w:val="00E12C68"/>
    <w:rsid w:val="00E2325B"/>
    <w:rsid w:val="00E24075"/>
    <w:rsid w:val="00E270C9"/>
    <w:rsid w:val="00E35F38"/>
    <w:rsid w:val="00E46F27"/>
    <w:rsid w:val="00E509CC"/>
    <w:rsid w:val="00E56DC0"/>
    <w:rsid w:val="00E71A04"/>
    <w:rsid w:val="00E90DA6"/>
    <w:rsid w:val="00E96342"/>
    <w:rsid w:val="00EA2FEA"/>
    <w:rsid w:val="00EA56CB"/>
    <w:rsid w:val="00EA7853"/>
    <w:rsid w:val="00F000B1"/>
    <w:rsid w:val="00F012D3"/>
    <w:rsid w:val="00F044C3"/>
    <w:rsid w:val="00F10D04"/>
    <w:rsid w:val="00F127B9"/>
    <w:rsid w:val="00F169E3"/>
    <w:rsid w:val="00F35D4B"/>
    <w:rsid w:val="00F3746B"/>
    <w:rsid w:val="00F572CB"/>
    <w:rsid w:val="00F621AF"/>
    <w:rsid w:val="00F8024E"/>
    <w:rsid w:val="00F82447"/>
    <w:rsid w:val="00F868E5"/>
    <w:rsid w:val="00FA535B"/>
    <w:rsid w:val="00FB2F32"/>
    <w:rsid w:val="00FC3191"/>
    <w:rsid w:val="00FE0F1F"/>
    <w:rsid w:val="00FF61F3"/>
    <w:rsid w:val="0A214432"/>
    <w:rsid w:val="27733670"/>
    <w:rsid w:val="54B97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插入文本样式-插入总体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1">
    <w:name w:val="插入文本样式-插入职责分类绩效目标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2">
    <w:name w:val="插入文本样式-插入实现年度发展规划目标的保障措施文件"/>
    <w:basedOn w:val="1"/>
    <w:qFormat/>
    <w:uiPriority w:val="0"/>
    <w:pPr>
      <w:widowControl/>
      <w:spacing w:line="500" w:lineRule="exact"/>
      <w:ind w:firstLine="560"/>
      <w:jc w:val="left"/>
    </w:pPr>
    <w:rPr>
      <w:rFonts w:ascii="Times New Roman" w:hAnsi="Times New Roman" w:eastAsia="方正仿宋_GBK" w:cs="Times New Roman"/>
      <w:kern w:val="0"/>
      <w:sz w:val="28"/>
      <w:szCs w:val="24"/>
      <w:lang w:eastAsia="uk-UA"/>
    </w:rPr>
  </w:style>
  <w:style w:type="paragraph" w:customStyle="1" w:styleId="13">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4">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15">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3"/>
    <w:basedOn w:val="1"/>
    <w:qFormat/>
    <w:uiPriority w:val="0"/>
    <w:pPr>
      <w:widowControl/>
      <w:jc w:val="center"/>
    </w:pPr>
    <w:rPr>
      <w:rFonts w:ascii="方正书宋_GBK" w:hAnsi="方正书宋_GBK" w:eastAsia="方正书宋_GBK" w:cs="方正书宋_GBK"/>
      <w:kern w:val="0"/>
      <w:szCs w:val="24"/>
      <w:lang w:eastAsia="uk-U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AE5AFE2-C372-48F0-9345-CEF35935CD3F}">
  <ds:schemaRefs/>
</ds:datastoreItem>
</file>

<file path=docProps/app.xml><?xml version="1.0" encoding="utf-8"?>
<Properties xmlns="http://schemas.openxmlformats.org/officeDocument/2006/extended-properties" xmlns:vt="http://schemas.openxmlformats.org/officeDocument/2006/docPropsVTypes">
  <Template>Normal</Template>
  <Pages>13</Pages>
  <Words>926</Words>
  <Characters>5281</Characters>
  <Lines>44</Lines>
  <Paragraphs>12</Paragraphs>
  <TotalTime>0</TotalTime>
  <ScaleCrop>false</ScaleCrop>
  <LinksUpToDate>false</LinksUpToDate>
  <CharactersWithSpaces>6195</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2019-02-15T06:58:00Z</dcterms:created>
  <dc:creator>Windows 用户</dc:creator>
  <cp:lastModifiedBy>Administrator</cp:lastModifiedBy>
  <cp:lastPrinted>2021-04-14T02:06:00Z</cp:lastPrinted>
  <dcterms:modified xsi:type="dcterms:W3CDTF">2022-03-04T06:38:17Z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76EAFEA3433E47EF9BBEB116C4FC5C2C</vt:lpwstr>
  </property>
</Properties>
</file>