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225高邑县编办</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106.47</w:t>
            </w:r>
          </w:p>
        </w:tc>
        <w:tc>
          <w:tcPr>
            <w:tcW w:w="1971" w:type="dxa"/>
            <w:vAlign w:val="center"/>
          </w:tcPr>
          <w:p>
            <w:pPr>
              <w:pStyle w:val="14"/>
            </w:pPr>
            <w:r>
              <w:t>一、一般公共服务支出</w:t>
            </w:r>
          </w:p>
        </w:tc>
        <w:tc>
          <w:tcPr>
            <w:tcW w:w="1971" w:type="dxa"/>
            <w:vAlign w:val="center"/>
          </w:tcPr>
          <w:p>
            <w:pPr>
              <w:pStyle w:val="13"/>
            </w:pPr>
            <w:r>
              <w:t>82.65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106.47</w:t>
            </w:r>
          </w:p>
        </w:tc>
        <w:tc>
          <w:tcPr>
            <w:tcW w:w="1971" w:type="dxa"/>
            <w:vAlign w:val="center"/>
          </w:tcPr>
          <w:p>
            <w:pPr>
              <w:pStyle w:val="16"/>
            </w:pPr>
            <w:r>
              <w:t>本年支出合计</w:t>
            </w:r>
          </w:p>
        </w:tc>
        <w:tc>
          <w:tcPr>
            <w:tcW w:w="1971" w:type="dxa"/>
            <w:vAlign w:val="center"/>
          </w:tcPr>
          <w:p>
            <w:pPr>
              <w:pStyle w:val="17"/>
            </w:pPr>
            <w:r>
              <w:t>106.47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106.47</w:t>
            </w:r>
          </w:p>
        </w:tc>
        <w:tc>
          <w:tcPr>
            <w:tcW w:w="1971" w:type="dxa"/>
            <w:vAlign w:val="center"/>
          </w:tcPr>
          <w:p>
            <w:pPr>
              <w:pStyle w:val="16"/>
            </w:pPr>
            <w:r>
              <w:t>支出总计</w:t>
            </w:r>
          </w:p>
        </w:tc>
        <w:tc>
          <w:tcPr>
            <w:tcW w:w="1971" w:type="dxa"/>
            <w:vAlign w:val="center"/>
          </w:tcPr>
          <w:p>
            <w:pPr>
              <w:pStyle w:val="17"/>
            </w:pPr>
            <w:r>
              <w:t>106.47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225高邑县编办</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106.47</w:t>
            </w:r>
          </w:p>
        </w:tc>
        <w:tc>
          <w:tcPr>
            <w:tcW w:w="758" w:type="dxa"/>
            <w:vAlign w:val="center"/>
          </w:tcPr>
          <w:p>
            <w:pPr>
              <w:pStyle w:val="17"/>
            </w:pPr>
            <w:r>
              <w:t>106.47</w:t>
            </w:r>
          </w:p>
        </w:tc>
        <w:tc>
          <w:tcPr>
            <w:tcW w:w="758" w:type="dxa"/>
            <w:vAlign w:val="center"/>
          </w:tcPr>
          <w:p>
            <w:pPr>
              <w:pStyle w:val="17"/>
            </w:pPr>
            <w:r>
              <w:t>106.47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20132</w:t>
            </w:r>
          </w:p>
        </w:tc>
        <w:tc>
          <w:tcPr>
            <w:tcW w:w="758" w:type="dxa"/>
            <w:vAlign w:val="center"/>
          </w:tcPr>
          <w:p>
            <w:pPr>
              <w:pStyle w:val="14"/>
            </w:pPr>
            <w:r>
              <w:t>组织事务</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r>
              <w:t>82.65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2013201</w:t>
            </w:r>
          </w:p>
        </w:tc>
        <w:tc>
          <w:tcPr>
            <w:tcW w:w="758" w:type="dxa"/>
            <w:vAlign w:val="center"/>
          </w:tcPr>
          <w:p>
            <w:pPr>
              <w:pStyle w:val="14"/>
            </w:pPr>
            <w:r>
              <w:t>行政运行</w:t>
            </w:r>
          </w:p>
        </w:tc>
        <w:tc>
          <w:tcPr>
            <w:tcW w:w="758" w:type="dxa"/>
            <w:vAlign w:val="center"/>
          </w:tcPr>
          <w:p>
            <w:pPr>
              <w:pStyle w:val="13"/>
            </w:pPr>
            <w:r>
              <w:t>74.29</w:t>
            </w:r>
          </w:p>
        </w:tc>
        <w:tc>
          <w:tcPr>
            <w:tcW w:w="758" w:type="dxa"/>
            <w:vAlign w:val="center"/>
          </w:tcPr>
          <w:p>
            <w:pPr>
              <w:pStyle w:val="13"/>
            </w:pPr>
            <w:r>
              <w:t>74.29</w:t>
            </w:r>
          </w:p>
        </w:tc>
        <w:tc>
          <w:tcPr>
            <w:tcW w:w="758" w:type="dxa"/>
            <w:vAlign w:val="center"/>
          </w:tcPr>
          <w:p>
            <w:pPr>
              <w:pStyle w:val="13"/>
            </w:pPr>
            <w:r>
              <w:t>74.29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2013202</w:t>
            </w:r>
          </w:p>
        </w:tc>
        <w:tc>
          <w:tcPr>
            <w:tcW w:w="758" w:type="dxa"/>
            <w:vAlign w:val="center"/>
          </w:tcPr>
          <w:p>
            <w:pPr>
              <w:pStyle w:val="14"/>
            </w:pPr>
            <w:r>
              <w:t>一般行政管理事务</w:t>
            </w:r>
          </w:p>
        </w:tc>
        <w:tc>
          <w:tcPr>
            <w:tcW w:w="758" w:type="dxa"/>
            <w:vAlign w:val="center"/>
          </w:tcPr>
          <w:p>
            <w:pPr>
              <w:pStyle w:val="13"/>
            </w:pPr>
            <w:r>
              <w:t>8.36</w:t>
            </w:r>
          </w:p>
        </w:tc>
        <w:tc>
          <w:tcPr>
            <w:tcW w:w="758" w:type="dxa"/>
            <w:vAlign w:val="center"/>
          </w:tcPr>
          <w:p>
            <w:pPr>
              <w:pStyle w:val="13"/>
            </w:pPr>
            <w:r>
              <w:t>8.36</w:t>
            </w:r>
          </w:p>
        </w:tc>
        <w:tc>
          <w:tcPr>
            <w:tcW w:w="758" w:type="dxa"/>
            <w:vAlign w:val="center"/>
          </w:tcPr>
          <w:p>
            <w:pPr>
              <w:pStyle w:val="13"/>
            </w:pPr>
            <w:r>
              <w:t>8.36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10.39</w:t>
            </w:r>
          </w:p>
        </w:tc>
        <w:tc>
          <w:tcPr>
            <w:tcW w:w="758" w:type="dxa"/>
            <w:vAlign w:val="center"/>
          </w:tcPr>
          <w:p>
            <w:pPr>
              <w:pStyle w:val="13"/>
            </w:pPr>
            <w:r>
              <w:t>10.39</w:t>
            </w:r>
          </w:p>
        </w:tc>
        <w:tc>
          <w:tcPr>
            <w:tcW w:w="758" w:type="dxa"/>
            <w:vAlign w:val="center"/>
          </w:tcPr>
          <w:p>
            <w:pPr>
              <w:pStyle w:val="13"/>
            </w:pPr>
            <w:r>
              <w:t>10.39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10.05</w:t>
            </w:r>
          </w:p>
        </w:tc>
        <w:tc>
          <w:tcPr>
            <w:tcW w:w="758" w:type="dxa"/>
            <w:vAlign w:val="center"/>
          </w:tcPr>
          <w:p>
            <w:pPr>
              <w:pStyle w:val="13"/>
            </w:pPr>
            <w:r>
              <w:t>10.05</w:t>
            </w:r>
          </w:p>
        </w:tc>
        <w:tc>
          <w:tcPr>
            <w:tcW w:w="758" w:type="dxa"/>
            <w:vAlign w:val="center"/>
          </w:tcPr>
          <w:p>
            <w:pPr>
              <w:pStyle w:val="13"/>
            </w:pPr>
            <w:r>
              <w:t>10.05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6.70</w:t>
            </w:r>
          </w:p>
        </w:tc>
        <w:tc>
          <w:tcPr>
            <w:tcW w:w="758" w:type="dxa"/>
            <w:vAlign w:val="center"/>
          </w:tcPr>
          <w:p>
            <w:pPr>
              <w:pStyle w:val="13"/>
            </w:pPr>
            <w:r>
              <w:t>6.70</w:t>
            </w:r>
          </w:p>
        </w:tc>
        <w:tc>
          <w:tcPr>
            <w:tcW w:w="758" w:type="dxa"/>
            <w:vAlign w:val="center"/>
          </w:tcPr>
          <w:p>
            <w:pPr>
              <w:pStyle w:val="13"/>
            </w:pPr>
            <w:r>
              <w:t>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2080506</w:t>
            </w:r>
          </w:p>
        </w:tc>
        <w:tc>
          <w:tcPr>
            <w:tcW w:w="758" w:type="dxa"/>
            <w:vAlign w:val="center"/>
          </w:tcPr>
          <w:p>
            <w:pPr>
              <w:pStyle w:val="14"/>
            </w:pPr>
            <w:r>
              <w:t>机关事业单位职业年金缴费支出</w:t>
            </w:r>
          </w:p>
        </w:tc>
        <w:tc>
          <w:tcPr>
            <w:tcW w:w="758" w:type="dxa"/>
            <w:vAlign w:val="center"/>
          </w:tcPr>
          <w:p>
            <w:pPr>
              <w:pStyle w:val="13"/>
            </w:pPr>
            <w:r>
              <w:t>3.35</w:t>
            </w:r>
          </w:p>
        </w:tc>
        <w:tc>
          <w:tcPr>
            <w:tcW w:w="758" w:type="dxa"/>
            <w:vAlign w:val="center"/>
          </w:tcPr>
          <w:p>
            <w:pPr>
              <w:pStyle w:val="13"/>
            </w:pPr>
            <w:r>
              <w:t>3.35</w:t>
            </w:r>
          </w:p>
        </w:tc>
        <w:tc>
          <w:tcPr>
            <w:tcW w:w="758" w:type="dxa"/>
            <w:vAlign w:val="center"/>
          </w:tcPr>
          <w:p>
            <w:pPr>
              <w:pStyle w:val="13"/>
            </w:pPr>
            <w:r>
              <w:t>3.35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20827</w:t>
            </w:r>
          </w:p>
        </w:tc>
        <w:tc>
          <w:tcPr>
            <w:tcW w:w="758" w:type="dxa"/>
            <w:vAlign w:val="center"/>
          </w:tcPr>
          <w:p>
            <w:pPr>
              <w:pStyle w:val="14"/>
            </w:pPr>
            <w:r>
              <w:t>财政对其他社会保险基金的补助</w:t>
            </w:r>
          </w:p>
        </w:tc>
        <w:tc>
          <w:tcPr>
            <w:tcW w:w="758" w:type="dxa"/>
            <w:vAlign w:val="center"/>
          </w:tcPr>
          <w:p>
            <w:pPr>
              <w:pStyle w:val="13"/>
            </w:pPr>
            <w:r>
              <w:t>0.34</w:t>
            </w:r>
          </w:p>
        </w:tc>
        <w:tc>
          <w:tcPr>
            <w:tcW w:w="758" w:type="dxa"/>
            <w:vAlign w:val="center"/>
          </w:tcPr>
          <w:p>
            <w:pPr>
              <w:pStyle w:val="13"/>
            </w:pPr>
            <w:r>
              <w:t>0.34</w:t>
            </w:r>
          </w:p>
        </w:tc>
        <w:tc>
          <w:tcPr>
            <w:tcW w:w="758" w:type="dxa"/>
            <w:vAlign w:val="center"/>
          </w:tcPr>
          <w:p>
            <w:pPr>
              <w:pStyle w:val="13"/>
            </w:pPr>
            <w:r>
              <w:t>0.34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2082701</w:t>
            </w:r>
          </w:p>
        </w:tc>
        <w:tc>
          <w:tcPr>
            <w:tcW w:w="758" w:type="dxa"/>
            <w:vAlign w:val="center"/>
          </w:tcPr>
          <w:p>
            <w:pPr>
              <w:pStyle w:val="14"/>
            </w:pPr>
            <w:r>
              <w:t>财政对失业保险基金的补助</w:t>
            </w:r>
          </w:p>
        </w:tc>
        <w:tc>
          <w:tcPr>
            <w:tcW w:w="758" w:type="dxa"/>
            <w:vAlign w:val="center"/>
          </w:tcPr>
          <w:p>
            <w:pPr>
              <w:pStyle w:val="13"/>
            </w:pPr>
            <w:r>
              <w:t>0.12</w:t>
            </w:r>
          </w:p>
        </w:tc>
        <w:tc>
          <w:tcPr>
            <w:tcW w:w="758" w:type="dxa"/>
            <w:vAlign w:val="center"/>
          </w:tcPr>
          <w:p>
            <w:pPr>
              <w:pStyle w:val="13"/>
            </w:pPr>
            <w:r>
              <w:t>0.12</w:t>
            </w:r>
          </w:p>
        </w:tc>
        <w:tc>
          <w:tcPr>
            <w:tcW w:w="758" w:type="dxa"/>
            <w:vAlign w:val="center"/>
          </w:tcPr>
          <w:p>
            <w:pPr>
              <w:pStyle w:val="13"/>
            </w:pPr>
            <w:r>
              <w:t>0.12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2082702</w:t>
            </w:r>
          </w:p>
        </w:tc>
        <w:tc>
          <w:tcPr>
            <w:tcW w:w="758" w:type="dxa"/>
            <w:vAlign w:val="center"/>
          </w:tcPr>
          <w:p>
            <w:pPr>
              <w:pStyle w:val="14"/>
            </w:pPr>
            <w:r>
              <w:t>财政对工伤保险基金的补助</w:t>
            </w:r>
          </w:p>
        </w:tc>
        <w:tc>
          <w:tcPr>
            <w:tcW w:w="758" w:type="dxa"/>
            <w:vAlign w:val="center"/>
          </w:tcPr>
          <w:p>
            <w:pPr>
              <w:pStyle w:val="13"/>
            </w:pPr>
            <w:r>
              <w:t>0.22</w:t>
            </w:r>
          </w:p>
        </w:tc>
        <w:tc>
          <w:tcPr>
            <w:tcW w:w="758" w:type="dxa"/>
            <w:vAlign w:val="center"/>
          </w:tcPr>
          <w:p>
            <w:pPr>
              <w:pStyle w:val="13"/>
            </w:pPr>
            <w:r>
              <w:t>0.22</w:t>
            </w:r>
          </w:p>
        </w:tc>
        <w:tc>
          <w:tcPr>
            <w:tcW w:w="758" w:type="dxa"/>
            <w:vAlign w:val="center"/>
          </w:tcPr>
          <w:p>
            <w:pPr>
              <w:pStyle w:val="13"/>
            </w:pPr>
            <w:r>
              <w:t>0.22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r>
              <w:t>8.30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4.68</w:t>
            </w:r>
          </w:p>
        </w:tc>
        <w:tc>
          <w:tcPr>
            <w:tcW w:w="758" w:type="dxa"/>
            <w:vAlign w:val="center"/>
          </w:tcPr>
          <w:p>
            <w:pPr>
              <w:pStyle w:val="13"/>
            </w:pPr>
            <w:r>
              <w:t>4.68</w:t>
            </w:r>
          </w:p>
        </w:tc>
        <w:tc>
          <w:tcPr>
            <w:tcW w:w="758" w:type="dxa"/>
            <w:vAlign w:val="center"/>
          </w:tcPr>
          <w:p>
            <w:pPr>
              <w:pStyle w:val="13"/>
            </w:pPr>
            <w:r>
              <w:t>4.68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3.62</w:t>
            </w:r>
          </w:p>
        </w:tc>
        <w:tc>
          <w:tcPr>
            <w:tcW w:w="758" w:type="dxa"/>
            <w:vAlign w:val="center"/>
          </w:tcPr>
          <w:p>
            <w:pPr>
              <w:pStyle w:val="13"/>
            </w:pPr>
            <w:r>
              <w:t>3.62</w:t>
            </w:r>
          </w:p>
        </w:tc>
        <w:tc>
          <w:tcPr>
            <w:tcW w:w="758" w:type="dxa"/>
            <w:vAlign w:val="center"/>
          </w:tcPr>
          <w:p>
            <w:pPr>
              <w:pStyle w:val="13"/>
            </w:pPr>
            <w:r>
              <w:t>3.62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r>
              <w:t>5.13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106.47</w:t>
            </w:r>
          </w:p>
        </w:tc>
        <w:tc>
          <w:tcPr>
            <w:tcW w:w="1095" w:type="dxa"/>
            <w:vAlign w:val="center"/>
          </w:tcPr>
          <w:p>
            <w:pPr>
              <w:pStyle w:val="17"/>
            </w:pPr>
            <w:r>
              <w:t>98.11</w:t>
            </w:r>
          </w:p>
        </w:tc>
        <w:tc>
          <w:tcPr>
            <w:tcW w:w="1095" w:type="dxa"/>
            <w:vAlign w:val="center"/>
          </w:tcPr>
          <w:p>
            <w:pPr>
              <w:pStyle w:val="17"/>
            </w:pPr>
            <w:r>
              <w:t>8.36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82.65</w:t>
            </w:r>
          </w:p>
        </w:tc>
        <w:tc>
          <w:tcPr>
            <w:tcW w:w="1095" w:type="dxa"/>
            <w:vAlign w:val="center"/>
          </w:tcPr>
          <w:p>
            <w:pPr>
              <w:pStyle w:val="13"/>
            </w:pPr>
            <w:r>
              <w:t>74.29</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20132</w:t>
            </w:r>
          </w:p>
        </w:tc>
        <w:tc>
          <w:tcPr>
            <w:tcW w:w="1095" w:type="dxa"/>
            <w:vAlign w:val="center"/>
          </w:tcPr>
          <w:p>
            <w:pPr>
              <w:pStyle w:val="14"/>
            </w:pPr>
            <w:r>
              <w:t>组织事务</w:t>
            </w:r>
          </w:p>
        </w:tc>
        <w:tc>
          <w:tcPr>
            <w:tcW w:w="1095" w:type="dxa"/>
            <w:vAlign w:val="center"/>
          </w:tcPr>
          <w:p>
            <w:pPr>
              <w:pStyle w:val="13"/>
            </w:pPr>
            <w:r>
              <w:t>82.65</w:t>
            </w:r>
          </w:p>
        </w:tc>
        <w:tc>
          <w:tcPr>
            <w:tcW w:w="1095" w:type="dxa"/>
            <w:vAlign w:val="center"/>
          </w:tcPr>
          <w:p>
            <w:pPr>
              <w:pStyle w:val="13"/>
            </w:pPr>
            <w:r>
              <w:t>74.29</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2013201</w:t>
            </w:r>
          </w:p>
        </w:tc>
        <w:tc>
          <w:tcPr>
            <w:tcW w:w="1095" w:type="dxa"/>
            <w:vAlign w:val="center"/>
          </w:tcPr>
          <w:p>
            <w:pPr>
              <w:pStyle w:val="14"/>
            </w:pPr>
            <w:r>
              <w:t>行政运行</w:t>
            </w:r>
          </w:p>
        </w:tc>
        <w:tc>
          <w:tcPr>
            <w:tcW w:w="1095" w:type="dxa"/>
            <w:vAlign w:val="center"/>
          </w:tcPr>
          <w:p>
            <w:pPr>
              <w:pStyle w:val="13"/>
            </w:pPr>
            <w:r>
              <w:t>74.29</w:t>
            </w:r>
          </w:p>
        </w:tc>
        <w:tc>
          <w:tcPr>
            <w:tcW w:w="1095" w:type="dxa"/>
            <w:vAlign w:val="center"/>
          </w:tcPr>
          <w:p>
            <w:pPr>
              <w:pStyle w:val="13"/>
            </w:pPr>
            <w:r>
              <w:t>74.29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2013202</w:t>
            </w:r>
          </w:p>
        </w:tc>
        <w:tc>
          <w:tcPr>
            <w:tcW w:w="1095" w:type="dxa"/>
            <w:vAlign w:val="center"/>
          </w:tcPr>
          <w:p>
            <w:pPr>
              <w:pStyle w:val="14"/>
            </w:pPr>
            <w:r>
              <w:t>一般行政管理事务</w:t>
            </w: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r>
              <w:t>8.36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10.39</w:t>
            </w:r>
          </w:p>
        </w:tc>
        <w:tc>
          <w:tcPr>
            <w:tcW w:w="1095" w:type="dxa"/>
            <w:vAlign w:val="center"/>
          </w:tcPr>
          <w:p>
            <w:pPr>
              <w:pStyle w:val="13"/>
            </w:pPr>
            <w:r>
              <w:t>10.39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10.05</w:t>
            </w:r>
          </w:p>
        </w:tc>
        <w:tc>
          <w:tcPr>
            <w:tcW w:w="1095" w:type="dxa"/>
            <w:vAlign w:val="center"/>
          </w:tcPr>
          <w:p>
            <w:pPr>
              <w:pStyle w:val="13"/>
            </w:pPr>
            <w:r>
              <w:t>10.05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6.70</w:t>
            </w:r>
          </w:p>
        </w:tc>
        <w:tc>
          <w:tcPr>
            <w:tcW w:w="1095" w:type="dxa"/>
            <w:vAlign w:val="center"/>
          </w:tcPr>
          <w:p>
            <w:pPr>
              <w:pStyle w:val="13"/>
            </w:pPr>
            <w:r>
              <w:t>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1095" w:type="dxa"/>
            <w:vAlign w:val="center"/>
          </w:tcPr>
          <w:p>
            <w:pPr>
              <w:pStyle w:val="13"/>
            </w:pPr>
            <w:r>
              <w:t>3.35</w:t>
            </w:r>
          </w:p>
        </w:tc>
        <w:tc>
          <w:tcPr>
            <w:tcW w:w="1095" w:type="dxa"/>
            <w:vAlign w:val="center"/>
          </w:tcPr>
          <w:p>
            <w:pPr>
              <w:pStyle w:val="13"/>
            </w:pPr>
            <w:r>
              <w:t>3.35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20827</w:t>
            </w:r>
          </w:p>
        </w:tc>
        <w:tc>
          <w:tcPr>
            <w:tcW w:w="1095" w:type="dxa"/>
            <w:vAlign w:val="center"/>
          </w:tcPr>
          <w:p>
            <w:pPr>
              <w:pStyle w:val="14"/>
            </w:pPr>
            <w:r>
              <w:t>财政对其他社会保险基金的补助</w:t>
            </w:r>
          </w:p>
        </w:tc>
        <w:tc>
          <w:tcPr>
            <w:tcW w:w="1095" w:type="dxa"/>
            <w:vAlign w:val="center"/>
          </w:tcPr>
          <w:p>
            <w:pPr>
              <w:pStyle w:val="13"/>
            </w:pPr>
            <w:r>
              <w:t>0.34</w:t>
            </w:r>
          </w:p>
        </w:tc>
        <w:tc>
          <w:tcPr>
            <w:tcW w:w="1095" w:type="dxa"/>
            <w:vAlign w:val="center"/>
          </w:tcPr>
          <w:p>
            <w:pPr>
              <w:pStyle w:val="13"/>
            </w:pPr>
            <w:r>
              <w:t>0.34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2082701</w:t>
            </w:r>
          </w:p>
        </w:tc>
        <w:tc>
          <w:tcPr>
            <w:tcW w:w="1095" w:type="dxa"/>
            <w:vAlign w:val="center"/>
          </w:tcPr>
          <w:p>
            <w:pPr>
              <w:pStyle w:val="14"/>
            </w:pPr>
            <w:r>
              <w:t>财政对失业保险基金的补助</w:t>
            </w:r>
          </w:p>
        </w:tc>
        <w:tc>
          <w:tcPr>
            <w:tcW w:w="1095" w:type="dxa"/>
            <w:vAlign w:val="center"/>
          </w:tcPr>
          <w:p>
            <w:pPr>
              <w:pStyle w:val="13"/>
            </w:pPr>
            <w:r>
              <w:t>0.12</w:t>
            </w:r>
          </w:p>
        </w:tc>
        <w:tc>
          <w:tcPr>
            <w:tcW w:w="1095" w:type="dxa"/>
            <w:vAlign w:val="center"/>
          </w:tcPr>
          <w:p>
            <w:pPr>
              <w:pStyle w:val="13"/>
            </w:pPr>
            <w:r>
              <w:t>0.12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2082702</w:t>
            </w:r>
          </w:p>
        </w:tc>
        <w:tc>
          <w:tcPr>
            <w:tcW w:w="1095" w:type="dxa"/>
            <w:vAlign w:val="center"/>
          </w:tcPr>
          <w:p>
            <w:pPr>
              <w:pStyle w:val="14"/>
            </w:pPr>
            <w:r>
              <w:t>财政对工伤保险基金的补助</w:t>
            </w:r>
          </w:p>
        </w:tc>
        <w:tc>
          <w:tcPr>
            <w:tcW w:w="1095" w:type="dxa"/>
            <w:vAlign w:val="center"/>
          </w:tcPr>
          <w:p>
            <w:pPr>
              <w:pStyle w:val="13"/>
            </w:pPr>
            <w:r>
              <w:t>0.22</w:t>
            </w:r>
          </w:p>
        </w:tc>
        <w:tc>
          <w:tcPr>
            <w:tcW w:w="1095" w:type="dxa"/>
            <w:vAlign w:val="center"/>
          </w:tcPr>
          <w:p>
            <w:pPr>
              <w:pStyle w:val="13"/>
            </w:pPr>
            <w:r>
              <w:t>0.22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8.30</w:t>
            </w:r>
          </w:p>
        </w:tc>
        <w:tc>
          <w:tcPr>
            <w:tcW w:w="1095" w:type="dxa"/>
            <w:vAlign w:val="center"/>
          </w:tcPr>
          <w:p>
            <w:pPr>
              <w:pStyle w:val="13"/>
            </w:pPr>
            <w:r>
              <w:t>8.30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8.30</w:t>
            </w:r>
          </w:p>
        </w:tc>
        <w:tc>
          <w:tcPr>
            <w:tcW w:w="1095" w:type="dxa"/>
            <w:vAlign w:val="center"/>
          </w:tcPr>
          <w:p>
            <w:pPr>
              <w:pStyle w:val="13"/>
            </w:pPr>
            <w:r>
              <w:t>8.30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4.68</w:t>
            </w:r>
          </w:p>
        </w:tc>
        <w:tc>
          <w:tcPr>
            <w:tcW w:w="1095" w:type="dxa"/>
            <w:vAlign w:val="center"/>
          </w:tcPr>
          <w:p>
            <w:pPr>
              <w:pStyle w:val="13"/>
            </w:pPr>
            <w:r>
              <w:t>4.68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3.62</w:t>
            </w:r>
          </w:p>
        </w:tc>
        <w:tc>
          <w:tcPr>
            <w:tcW w:w="1095" w:type="dxa"/>
            <w:vAlign w:val="center"/>
          </w:tcPr>
          <w:p>
            <w:pPr>
              <w:pStyle w:val="13"/>
            </w:pPr>
            <w:r>
              <w:t>3.62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5.13</w:t>
            </w:r>
          </w:p>
        </w:tc>
        <w:tc>
          <w:tcPr>
            <w:tcW w:w="1095" w:type="dxa"/>
            <w:vAlign w:val="center"/>
          </w:tcPr>
          <w:p>
            <w:pPr>
              <w:pStyle w:val="13"/>
            </w:pPr>
            <w:r>
              <w:t>5.13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106.47</w:t>
            </w:r>
          </w:p>
        </w:tc>
        <w:tc>
          <w:tcPr>
            <w:tcW w:w="1232" w:type="dxa"/>
            <w:vAlign w:val="center"/>
          </w:tcPr>
          <w:p>
            <w:pPr>
              <w:pStyle w:val="14"/>
            </w:pPr>
            <w:r>
              <w:t>一、一般公共服务支出</w:t>
            </w:r>
          </w:p>
        </w:tc>
        <w:tc>
          <w:tcPr>
            <w:tcW w:w="1232" w:type="dxa"/>
            <w:vAlign w:val="center"/>
          </w:tcPr>
          <w:p>
            <w:pPr>
              <w:pStyle w:val="13"/>
            </w:pPr>
            <w:r>
              <w:t>82.65</w:t>
            </w:r>
          </w:p>
        </w:tc>
        <w:tc>
          <w:tcPr>
            <w:tcW w:w="1232" w:type="dxa"/>
            <w:vAlign w:val="center"/>
          </w:tcPr>
          <w:p>
            <w:pPr>
              <w:pStyle w:val="13"/>
            </w:pPr>
            <w:r>
              <w:t>82.65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10.39</w:t>
            </w:r>
          </w:p>
        </w:tc>
        <w:tc>
          <w:tcPr>
            <w:tcW w:w="1232" w:type="dxa"/>
            <w:vAlign w:val="center"/>
          </w:tcPr>
          <w:p>
            <w:pPr>
              <w:pStyle w:val="13"/>
            </w:pPr>
            <w:r>
              <w:t>10.39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8.30</w:t>
            </w:r>
          </w:p>
        </w:tc>
        <w:tc>
          <w:tcPr>
            <w:tcW w:w="1232" w:type="dxa"/>
            <w:vAlign w:val="center"/>
          </w:tcPr>
          <w:p>
            <w:pPr>
              <w:pStyle w:val="13"/>
            </w:pPr>
            <w:r>
              <w:t>8.30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5.13</w:t>
            </w:r>
          </w:p>
        </w:tc>
        <w:tc>
          <w:tcPr>
            <w:tcW w:w="1232" w:type="dxa"/>
            <w:vAlign w:val="center"/>
          </w:tcPr>
          <w:p>
            <w:pPr>
              <w:pStyle w:val="13"/>
            </w:pPr>
            <w:r>
              <w:t>5.13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106.47</w:t>
            </w:r>
          </w:p>
        </w:tc>
        <w:tc>
          <w:tcPr>
            <w:tcW w:w="1232" w:type="dxa"/>
            <w:vAlign w:val="center"/>
          </w:tcPr>
          <w:p>
            <w:pPr>
              <w:pStyle w:val="16"/>
            </w:pPr>
            <w:r>
              <w:t>本年支出合计</w:t>
            </w:r>
          </w:p>
        </w:tc>
        <w:tc>
          <w:tcPr>
            <w:tcW w:w="1232" w:type="dxa"/>
            <w:vAlign w:val="center"/>
          </w:tcPr>
          <w:p>
            <w:pPr>
              <w:pStyle w:val="17"/>
            </w:pPr>
            <w:r>
              <w:t>106.47</w:t>
            </w:r>
          </w:p>
        </w:tc>
        <w:tc>
          <w:tcPr>
            <w:tcW w:w="1232" w:type="dxa"/>
            <w:vAlign w:val="center"/>
          </w:tcPr>
          <w:p>
            <w:pPr>
              <w:pStyle w:val="17"/>
            </w:pPr>
            <w:r>
              <w:t>106.47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106.47</w:t>
            </w:r>
          </w:p>
        </w:tc>
        <w:tc>
          <w:tcPr>
            <w:tcW w:w="1232" w:type="dxa"/>
            <w:vAlign w:val="center"/>
          </w:tcPr>
          <w:p>
            <w:pPr>
              <w:pStyle w:val="16"/>
            </w:pPr>
            <w:r>
              <w:t>支出总计</w:t>
            </w:r>
          </w:p>
        </w:tc>
        <w:tc>
          <w:tcPr>
            <w:tcW w:w="1232" w:type="dxa"/>
            <w:vAlign w:val="center"/>
          </w:tcPr>
          <w:p>
            <w:pPr>
              <w:pStyle w:val="17"/>
            </w:pPr>
            <w:r>
              <w:t>106.47</w:t>
            </w:r>
          </w:p>
        </w:tc>
        <w:tc>
          <w:tcPr>
            <w:tcW w:w="1232" w:type="dxa"/>
            <w:vAlign w:val="center"/>
          </w:tcPr>
          <w:p>
            <w:pPr>
              <w:pStyle w:val="17"/>
            </w:pPr>
            <w:r>
              <w:t>106.47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106.47</w:t>
            </w:r>
          </w:p>
        </w:tc>
        <w:tc>
          <w:tcPr>
            <w:tcW w:w="1643" w:type="dxa"/>
            <w:vAlign w:val="center"/>
          </w:tcPr>
          <w:p>
            <w:pPr>
              <w:pStyle w:val="17"/>
            </w:pPr>
            <w:r>
              <w:t>98.11</w:t>
            </w:r>
          </w:p>
        </w:tc>
        <w:tc>
          <w:tcPr>
            <w:tcW w:w="1643" w:type="dxa"/>
            <w:vAlign w:val="center"/>
          </w:tcPr>
          <w:p>
            <w:pPr>
              <w:pStyle w:val="17"/>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82.65</w:t>
            </w:r>
          </w:p>
        </w:tc>
        <w:tc>
          <w:tcPr>
            <w:tcW w:w="1643" w:type="dxa"/>
            <w:vAlign w:val="center"/>
          </w:tcPr>
          <w:p>
            <w:pPr>
              <w:pStyle w:val="13"/>
            </w:pPr>
            <w:r>
              <w:t>74.29</w:t>
            </w: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20132</w:t>
            </w:r>
          </w:p>
        </w:tc>
        <w:tc>
          <w:tcPr>
            <w:tcW w:w="1643" w:type="dxa"/>
            <w:vAlign w:val="center"/>
          </w:tcPr>
          <w:p>
            <w:pPr>
              <w:pStyle w:val="14"/>
            </w:pPr>
            <w:r>
              <w:t>组织事务</w:t>
            </w:r>
          </w:p>
        </w:tc>
        <w:tc>
          <w:tcPr>
            <w:tcW w:w="1643" w:type="dxa"/>
            <w:vAlign w:val="center"/>
          </w:tcPr>
          <w:p>
            <w:pPr>
              <w:pStyle w:val="13"/>
            </w:pPr>
            <w:r>
              <w:t>82.65</w:t>
            </w:r>
          </w:p>
        </w:tc>
        <w:tc>
          <w:tcPr>
            <w:tcW w:w="1643" w:type="dxa"/>
            <w:vAlign w:val="center"/>
          </w:tcPr>
          <w:p>
            <w:pPr>
              <w:pStyle w:val="13"/>
            </w:pPr>
            <w:r>
              <w:t>74.29</w:t>
            </w: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2013201</w:t>
            </w:r>
          </w:p>
        </w:tc>
        <w:tc>
          <w:tcPr>
            <w:tcW w:w="1643" w:type="dxa"/>
            <w:vAlign w:val="center"/>
          </w:tcPr>
          <w:p>
            <w:pPr>
              <w:pStyle w:val="14"/>
            </w:pPr>
            <w:r>
              <w:t>行政运行</w:t>
            </w:r>
          </w:p>
        </w:tc>
        <w:tc>
          <w:tcPr>
            <w:tcW w:w="1643" w:type="dxa"/>
            <w:vAlign w:val="center"/>
          </w:tcPr>
          <w:p>
            <w:pPr>
              <w:pStyle w:val="13"/>
            </w:pPr>
            <w:r>
              <w:t>74.29</w:t>
            </w:r>
          </w:p>
        </w:tc>
        <w:tc>
          <w:tcPr>
            <w:tcW w:w="1643" w:type="dxa"/>
            <w:vAlign w:val="center"/>
          </w:tcPr>
          <w:p>
            <w:pPr>
              <w:pStyle w:val="13"/>
            </w:pPr>
            <w:r>
              <w:t>74.29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2013202</w:t>
            </w:r>
          </w:p>
        </w:tc>
        <w:tc>
          <w:tcPr>
            <w:tcW w:w="1643" w:type="dxa"/>
            <w:vAlign w:val="center"/>
          </w:tcPr>
          <w:p>
            <w:pPr>
              <w:pStyle w:val="14"/>
            </w:pPr>
            <w:r>
              <w:t>一般行政管理事务</w:t>
            </w:r>
          </w:p>
        </w:tc>
        <w:tc>
          <w:tcPr>
            <w:tcW w:w="1643" w:type="dxa"/>
            <w:vAlign w:val="center"/>
          </w:tcPr>
          <w:p>
            <w:pPr>
              <w:pStyle w:val="13"/>
            </w:pPr>
            <w:r>
              <w:t>8.36</w:t>
            </w:r>
          </w:p>
        </w:tc>
        <w:tc>
          <w:tcPr>
            <w:tcW w:w="1643" w:type="dxa"/>
            <w:vAlign w:val="center"/>
          </w:tcPr>
          <w:p>
            <w:pPr>
              <w:pStyle w:val="13"/>
            </w:pPr>
          </w:p>
        </w:tc>
        <w:tc>
          <w:tcPr>
            <w:tcW w:w="1643" w:type="dxa"/>
            <w:vAlign w:val="center"/>
          </w:tcPr>
          <w:p>
            <w:pPr>
              <w:pStyle w:val="13"/>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10.39</w:t>
            </w:r>
          </w:p>
        </w:tc>
        <w:tc>
          <w:tcPr>
            <w:tcW w:w="1643" w:type="dxa"/>
            <w:vAlign w:val="center"/>
          </w:tcPr>
          <w:p>
            <w:pPr>
              <w:pStyle w:val="13"/>
            </w:pPr>
            <w:r>
              <w:t>10.39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10.05</w:t>
            </w:r>
          </w:p>
        </w:tc>
        <w:tc>
          <w:tcPr>
            <w:tcW w:w="1643" w:type="dxa"/>
            <w:vAlign w:val="center"/>
          </w:tcPr>
          <w:p>
            <w:pPr>
              <w:pStyle w:val="13"/>
            </w:pPr>
            <w:r>
              <w:t>10.05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1643" w:type="dxa"/>
            <w:vAlign w:val="center"/>
          </w:tcPr>
          <w:p>
            <w:pPr>
              <w:pStyle w:val="13"/>
            </w:pPr>
            <w:r>
              <w:t>3.35</w:t>
            </w:r>
          </w:p>
        </w:tc>
        <w:tc>
          <w:tcPr>
            <w:tcW w:w="1643" w:type="dxa"/>
            <w:vAlign w:val="center"/>
          </w:tcPr>
          <w:p>
            <w:pPr>
              <w:pStyle w:val="13"/>
            </w:pPr>
            <w:r>
              <w:t>3.35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20827</w:t>
            </w:r>
          </w:p>
        </w:tc>
        <w:tc>
          <w:tcPr>
            <w:tcW w:w="1643" w:type="dxa"/>
            <w:vAlign w:val="center"/>
          </w:tcPr>
          <w:p>
            <w:pPr>
              <w:pStyle w:val="14"/>
            </w:pPr>
            <w:r>
              <w:t>财政对其他社会保险基金的补助</w:t>
            </w:r>
          </w:p>
        </w:tc>
        <w:tc>
          <w:tcPr>
            <w:tcW w:w="1643" w:type="dxa"/>
            <w:vAlign w:val="center"/>
          </w:tcPr>
          <w:p>
            <w:pPr>
              <w:pStyle w:val="13"/>
            </w:pPr>
            <w:r>
              <w:t>0.34</w:t>
            </w:r>
          </w:p>
        </w:tc>
        <w:tc>
          <w:tcPr>
            <w:tcW w:w="1643" w:type="dxa"/>
            <w:vAlign w:val="center"/>
          </w:tcPr>
          <w:p>
            <w:pPr>
              <w:pStyle w:val="13"/>
            </w:pPr>
            <w:r>
              <w:t>0.34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2082701</w:t>
            </w:r>
          </w:p>
        </w:tc>
        <w:tc>
          <w:tcPr>
            <w:tcW w:w="1643" w:type="dxa"/>
            <w:vAlign w:val="center"/>
          </w:tcPr>
          <w:p>
            <w:pPr>
              <w:pStyle w:val="14"/>
            </w:pPr>
            <w:r>
              <w:t>财政对失业保险基金的补助</w:t>
            </w:r>
          </w:p>
        </w:tc>
        <w:tc>
          <w:tcPr>
            <w:tcW w:w="1643" w:type="dxa"/>
            <w:vAlign w:val="center"/>
          </w:tcPr>
          <w:p>
            <w:pPr>
              <w:pStyle w:val="13"/>
            </w:pPr>
            <w:r>
              <w:t>0.12</w:t>
            </w:r>
          </w:p>
        </w:tc>
        <w:tc>
          <w:tcPr>
            <w:tcW w:w="1643" w:type="dxa"/>
            <w:vAlign w:val="center"/>
          </w:tcPr>
          <w:p>
            <w:pPr>
              <w:pStyle w:val="13"/>
            </w:pPr>
            <w:r>
              <w:t>0.12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2082702</w:t>
            </w:r>
          </w:p>
        </w:tc>
        <w:tc>
          <w:tcPr>
            <w:tcW w:w="1643" w:type="dxa"/>
            <w:vAlign w:val="center"/>
          </w:tcPr>
          <w:p>
            <w:pPr>
              <w:pStyle w:val="14"/>
            </w:pPr>
            <w:r>
              <w:t>财政对工伤保险基金的补助</w:t>
            </w:r>
          </w:p>
        </w:tc>
        <w:tc>
          <w:tcPr>
            <w:tcW w:w="1643" w:type="dxa"/>
            <w:vAlign w:val="center"/>
          </w:tcPr>
          <w:p>
            <w:pPr>
              <w:pStyle w:val="13"/>
            </w:pPr>
            <w:r>
              <w:t>0.22</w:t>
            </w:r>
          </w:p>
        </w:tc>
        <w:tc>
          <w:tcPr>
            <w:tcW w:w="1643" w:type="dxa"/>
            <w:vAlign w:val="center"/>
          </w:tcPr>
          <w:p>
            <w:pPr>
              <w:pStyle w:val="13"/>
            </w:pPr>
            <w:r>
              <w:t>0.22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8.30</w:t>
            </w:r>
          </w:p>
        </w:tc>
        <w:tc>
          <w:tcPr>
            <w:tcW w:w="1643" w:type="dxa"/>
            <w:vAlign w:val="center"/>
          </w:tcPr>
          <w:p>
            <w:pPr>
              <w:pStyle w:val="13"/>
            </w:pPr>
            <w:r>
              <w:t>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8.30</w:t>
            </w:r>
          </w:p>
        </w:tc>
        <w:tc>
          <w:tcPr>
            <w:tcW w:w="1643" w:type="dxa"/>
            <w:vAlign w:val="center"/>
          </w:tcPr>
          <w:p>
            <w:pPr>
              <w:pStyle w:val="13"/>
            </w:pPr>
            <w:r>
              <w:t>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4.68</w:t>
            </w:r>
          </w:p>
        </w:tc>
        <w:tc>
          <w:tcPr>
            <w:tcW w:w="1643"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3.62</w:t>
            </w:r>
          </w:p>
        </w:tc>
        <w:tc>
          <w:tcPr>
            <w:tcW w:w="1643" w:type="dxa"/>
            <w:vAlign w:val="center"/>
          </w:tcPr>
          <w:p>
            <w:pPr>
              <w:pStyle w:val="13"/>
            </w:pPr>
            <w:r>
              <w:t>3.62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98.11</w:t>
            </w:r>
          </w:p>
        </w:tc>
        <w:tc>
          <w:tcPr>
            <w:tcW w:w="1643" w:type="dxa"/>
            <w:vAlign w:val="center"/>
          </w:tcPr>
          <w:p>
            <w:pPr>
              <w:pStyle w:val="17"/>
            </w:pPr>
            <w:r>
              <w:t>87.40</w:t>
            </w:r>
          </w:p>
        </w:tc>
        <w:tc>
          <w:tcPr>
            <w:tcW w:w="1643" w:type="dxa"/>
            <w:vAlign w:val="center"/>
          </w:tcPr>
          <w:p>
            <w:pPr>
              <w:pStyle w:val="17"/>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87.40</w:t>
            </w:r>
          </w:p>
        </w:tc>
        <w:tc>
          <w:tcPr>
            <w:tcW w:w="1643" w:type="dxa"/>
            <w:vAlign w:val="center"/>
          </w:tcPr>
          <w:p>
            <w:pPr>
              <w:pStyle w:val="13"/>
            </w:pPr>
            <w:r>
              <w:t>87.40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29.40</w:t>
            </w:r>
          </w:p>
        </w:tc>
        <w:tc>
          <w:tcPr>
            <w:tcW w:w="1643" w:type="dxa"/>
            <w:vAlign w:val="center"/>
          </w:tcPr>
          <w:p>
            <w:pPr>
              <w:pStyle w:val="13"/>
            </w:pPr>
            <w:r>
              <w:t>29.40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6.29</w:t>
            </w:r>
          </w:p>
        </w:tc>
        <w:tc>
          <w:tcPr>
            <w:tcW w:w="1643" w:type="dxa"/>
            <w:vAlign w:val="center"/>
          </w:tcPr>
          <w:p>
            <w:pPr>
              <w:pStyle w:val="13"/>
            </w:pPr>
            <w:r>
              <w:t>6.29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15.87</w:t>
            </w:r>
          </w:p>
        </w:tc>
        <w:tc>
          <w:tcPr>
            <w:tcW w:w="1643" w:type="dxa"/>
            <w:vAlign w:val="center"/>
          </w:tcPr>
          <w:p>
            <w:pPr>
              <w:pStyle w:val="13"/>
            </w:pPr>
            <w:r>
              <w:t>15.87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5.59</w:t>
            </w:r>
          </w:p>
        </w:tc>
        <w:tc>
          <w:tcPr>
            <w:tcW w:w="1643" w:type="dxa"/>
            <w:vAlign w:val="center"/>
          </w:tcPr>
          <w:p>
            <w:pPr>
              <w:pStyle w:val="13"/>
            </w:pPr>
            <w:r>
              <w:t>5.59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3.35</w:t>
            </w:r>
          </w:p>
        </w:tc>
        <w:tc>
          <w:tcPr>
            <w:tcW w:w="1643" w:type="dxa"/>
            <w:vAlign w:val="center"/>
          </w:tcPr>
          <w:p>
            <w:pPr>
              <w:pStyle w:val="13"/>
            </w:pPr>
            <w:r>
              <w:t>3.35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4.68</w:t>
            </w:r>
          </w:p>
        </w:tc>
        <w:tc>
          <w:tcPr>
            <w:tcW w:w="1643"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3.62</w:t>
            </w:r>
          </w:p>
        </w:tc>
        <w:tc>
          <w:tcPr>
            <w:tcW w:w="1643" w:type="dxa"/>
            <w:vAlign w:val="center"/>
          </w:tcPr>
          <w:p>
            <w:pPr>
              <w:pStyle w:val="13"/>
            </w:pPr>
            <w:r>
              <w:t>3.62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0.34</w:t>
            </w:r>
          </w:p>
        </w:tc>
        <w:tc>
          <w:tcPr>
            <w:tcW w:w="1643" w:type="dxa"/>
            <w:vAlign w:val="center"/>
          </w:tcPr>
          <w:p>
            <w:pPr>
              <w:pStyle w:val="13"/>
            </w:pPr>
            <w:r>
              <w:t>0.34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5.13</w:t>
            </w:r>
          </w:p>
        </w:tc>
        <w:tc>
          <w:tcPr>
            <w:tcW w:w="1643" w:type="dxa"/>
            <w:vAlign w:val="center"/>
          </w:tcPr>
          <w:p>
            <w:pPr>
              <w:pStyle w:val="13"/>
            </w:pPr>
            <w:r>
              <w:t>5.13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6.43</w:t>
            </w:r>
          </w:p>
        </w:tc>
        <w:tc>
          <w:tcPr>
            <w:tcW w:w="1643" w:type="dxa"/>
            <w:vAlign w:val="center"/>
          </w:tcPr>
          <w:p>
            <w:pPr>
              <w:pStyle w:val="13"/>
            </w:pPr>
            <w:r>
              <w:t>6.43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10.71</w:t>
            </w:r>
          </w:p>
        </w:tc>
        <w:tc>
          <w:tcPr>
            <w:tcW w:w="1643" w:type="dxa"/>
            <w:vAlign w:val="center"/>
          </w:tcPr>
          <w:p>
            <w:pPr>
              <w:pStyle w:val="13"/>
            </w:pPr>
          </w:p>
        </w:tc>
        <w:tc>
          <w:tcPr>
            <w:tcW w:w="1643" w:type="dxa"/>
            <w:vAlign w:val="center"/>
          </w:tcPr>
          <w:p>
            <w:pPr>
              <w:pStyle w:val="13"/>
            </w:pPr>
            <w:r>
              <w:t>10.71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0.85</w:t>
            </w:r>
          </w:p>
        </w:tc>
        <w:tc>
          <w:tcPr>
            <w:tcW w:w="1643" w:type="dxa"/>
            <w:vAlign w:val="center"/>
          </w:tcPr>
          <w:p>
            <w:pPr>
              <w:pStyle w:val="13"/>
            </w:pPr>
          </w:p>
        </w:tc>
        <w:tc>
          <w:tcPr>
            <w:tcW w:w="1643"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4.48</w:t>
            </w:r>
          </w:p>
        </w:tc>
        <w:tc>
          <w:tcPr>
            <w:tcW w:w="1643" w:type="dxa"/>
            <w:vAlign w:val="center"/>
          </w:tcPr>
          <w:p>
            <w:pPr>
              <w:pStyle w:val="13"/>
            </w:pPr>
          </w:p>
        </w:tc>
        <w:tc>
          <w:tcPr>
            <w:tcW w:w="1643"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0.03</w:t>
            </w:r>
          </w:p>
        </w:tc>
        <w:tc>
          <w:tcPr>
            <w:tcW w:w="1643" w:type="dxa"/>
            <w:vAlign w:val="center"/>
          </w:tcPr>
          <w:p>
            <w:pPr>
              <w:pStyle w:val="13"/>
            </w:pPr>
          </w:p>
        </w:tc>
        <w:tc>
          <w:tcPr>
            <w:tcW w:w="1643" w:type="dxa"/>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225高邑县编办</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pPr>
          </w:p>
        </w:tc>
        <w:tc>
          <w:tcPr>
            <w:tcW w:w="1643" w:type="dxa"/>
            <w:vAlign w:val="center"/>
          </w:tcPr>
          <w:p>
            <w:pPr>
              <w:pStyle w:val="17"/>
            </w:pP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r>
              <w:t>0.03</w:t>
            </w:r>
          </w:p>
        </w:tc>
        <w:tc>
          <w:tcPr>
            <w:tcW w:w="1643" w:type="dxa"/>
            <w:vAlign w:val="center"/>
          </w:tcPr>
          <w:p>
            <w:pPr>
              <w:pStyle w:val="13"/>
            </w:pPr>
            <w:r>
              <w:t>0.03</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10</w:t>
            </w:r>
          </w:p>
        </w:tc>
        <w:tc>
          <w:tcPr>
            <w:tcW w:w="1643" w:type="dxa"/>
            <w:vAlign w:val="center"/>
          </w:tcPr>
          <w:p>
            <w:pPr>
              <w:pStyle w:val="14"/>
            </w:pPr>
            <w:r>
              <w:t>四、会议费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11</w:t>
            </w:r>
          </w:p>
        </w:tc>
        <w:tc>
          <w:tcPr>
            <w:tcW w:w="1643" w:type="dxa"/>
            <w:vAlign w:val="center"/>
          </w:tcPr>
          <w:p>
            <w:pPr>
              <w:pStyle w:val="14"/>
            </w:pPr>
            <w:r>
              <w:t>五、培训费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高邑县编办2022年部门预算信息公开情况说明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高邑县编办2022年部门预算信息公开情况说明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按照《预算法》、《地方预决算公开操作规程》和《关于进一步推进预算公开工作的实施意见》规定，现将高邑县编办2022年部门预算公开如下：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和省、市、县委关于行政管理体制和机构改革以及机构编制管理的政策法规。管理和指导全县县纪委监委机关及其派驻纪检监察组、县委各机关、县人大机关、县政府各部门、县政协机关、民主党派县级机关、人民团体县级机关（以下简称“党政群机关”），以及事业单位机构编制工作。组织开展行政管理体制改革、事业单位管理体制改革及机构编制工作基础性、创新性和前瞻性研究。</w:t>
      </w:r>
    </w:p>
    <w:p>
      <w:pPr>
        <w:pStyle w:val="19"/>
      </w:pPr>
      <w:r>
        <w:t>（二）组织拟定全县行政管理体制改革和县委、县政府机构改革方案并组织实施。负责全县行政管理体制和机构改革以及机构编制管理工作；负责行政执法体制改革工作。</w:t>
      </w:r>
    </w:p>
    <w:p>
      <w:pPr>
        <w:pStyle w:val="19"/>
      </w:pPr>
      <w:r>
        <w:t>（三）按照规定权限，负责县级党政群机关以及部门派出机构的职能配置、机构设置、人员编制和领导职数管理工作；负责协调县委、县政府各部门职能配置及其调整，协调县委、县政府各部门之间以及县直部门与乡（镇）之间职责分工；负责需要承办的市以下垂直管理部门或双重管理部门（单位）机构编制有关工作。</w:t>
      </w:r>
    </w:p>
    <w:p>
      <w:pPr>
        <w:pStyle w:val="19"/>
      </w:pPr>
      <w:r>
        <w:t>（四）组织拟定全县事业单位管理体制改革和机构改革方案。拟定各类事业单位人员编制管理办法并组织实施。按照规定权限，负责县委、县政府直属事业单位和县直部门所属事业单位的职能配置、机构设置、人员编制和领导职数管理工作。</w:t>
      </w:r>
    </w:p>
    <w:p>
      <w:pPr>
        <w:pStyle w:val="19"/>
      </w:pPr>
      <w:r>
        <w:t>（五）指导各乡（镇）的行政管理体制改革、事业单位管理体制改革和机构改革工作，审核机构改革方案。审核各乡（镇）机构编制分类；负责各乡（镇）党政群机关行政机构、事业单位和新设事业单位机构编制管理工作。</w:t>
      </w:r>
    </w:p>
    <w:p>
      <w:pPr>
        <w:pStyle w:val="19"/>
      </w:pPr>
      <w:r>
        <w:t>（六）负责全县党政群机关统一社会信用代码赋码管理工作，负责全县事业单位法人登记管理和监督检查工作。</w:t>
      </w:r>
    </w:p>
    <w:p>
      <w:pPr>
        <w:pStyle w:val="19"/>
      </w:pPr>
      <w:r>
        <w:t>（七）负责全县开发区（园区）行政管理体制改革工作。组织拟定开发区（园区）机构编制管理办法并组织实施；负责全县市级以上开发区（园区）职能配置、机构设置、人员编制和领导职数审核及上报工作。</w:t>
      </w:r>
    </w:p>
    <w:p>
      <w:pPr>
        <w:pStyle w:val="19"/>
      </w:pPr>
      <w:r>
        <w:t>（八）负责全县机构编制的总量控制、动态管理。组织拟定县本级年度编制使用计划，审核县直及乡（镇）机关事业单位招录、招聘和政策性安置等计划；负责县直机关事业单位编制使用核准；负责机构编制实名制管理工作；建立健全机构编制部门与有关部门的协调配合约束机制。</w:t>
      </w:r>
    </w:p>
    <w:p>
      <w:pPr>
        <w:pStyle w:val="19"/>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19"/>
      </w:pPr>
      <w:r>
        <w:t>（十）负责全县机构编制电子政务和信息化工作。负责全县机构编制统计工作；负责机构编制网站的管理、使用和维护；负责党政群机关、事业单位和其他非营利性单位网上名称管理工作。</w:t>
      </w:r>
    </w:p>
    <w:p>
      <w:pPr>
        <w:pStyle w:val="19"/>
      </w:pPr>
      <w:r>
        <w:t>（十一）完成县委、县政府和县委机构编制委员会交办的其它任务。</w:t>
      </w:r>
    </w:p>
    <w:p>
      <w:pPr>
        <w:pStyle w:val="19"/>
      </w:pPr>
      <w:r>
        <w:t>（十二）有关职责分工。</w:t>
      </w:r>
    </w:p>
    <w:p>
      <w:pPr>
        <w:pStyle w:val="19"/>
      </w:pPr>
      <w:r>
        <w:t>县委编办负责全县公益类事业单位管理体制改革工作。县发展和改革局负责生产经营类事业单位管理体制改革工作。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高邑县编办本级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按照预算管理有关规定，目前我省部门预算的编制实行综合预算管理，即全部收入和支出都反映在预算中。高邑县编办机关及所属事业单位的收支包含在部门预算中。</w:t>
      </w:r>
    </w:p>
    <w:p>
      <w:pPr>
        <w:pStyle w:val="20"/>
      </w:pPr>
      <w:r>
        <w:t>我办下属事业单位不独立核算，所属事业单位的预算包含在部门预算中。</w:t>
      </w:r>
    </w:p>
    <w:p>
      <w:pPr>
        <w:pStyle w:val="20"/>
      </w:pPr>
      <w:r>
        <w:t>1.收入说明</w:t>
      </w:r>
    </w:p>
    <w:p>
      <w:pPr>
        <w:pStyle w:val="20"/>
      </w:pPr>
      <w:r>
        <w:t>反映本部门当年全部收入。2022年预算收入1064700元。其中，一般公共预算拨款收入1064700元、基金预算拨款收入0元、国有资本经营预算拨款收入0元、财政专户核拨收入0元，其他来源收入0元。</w:t>
      </w:r>
    </w:p>
    <w:p>
      <w:pPr>
        <w:pStyle w:val="20"/>
      </w:pPr>
      <w:r>
        <w:t>2.支出说明</w:t>
      </w:r>
    </w:p>
    <w:p>
      <w:pPr>
        <w:pStyle w:val="20"/>
      </w:pPr>
      <w:r>
        <w:t>收支预算总表支出栏、基本支出表、项目支出表按经济分类和支出功能分类科目编制，反映年度部门预算中支出预算的总体情况。2022年支出预算1064700元。其中，基本支出981100元，包括人员经费和日常公用经费；项目支出83600元，主要为本级支出，主要为实名制网络平台运行及维护费和域名注册费支出等；其他支出0元。</w:t>
      </w:r>
    </w:p>
    <w:p>
      <w:pPr>
        <w:pStyle w:val="20"/>
      </w:pPr>
      <w:r>
        <w:t>3.比上年增减情况</w:t>
      </w:r>
    </w:p>
    <w:p>
      <w:pPr>
        <w:pStyle w:val="20"/>
      </w:pPr>
      <w:r>
        <w:t>2022年预算收支安排1064700元，较2021年预算增加104800元，增加9.8%。其中：基本支出增加84800元，增加8.6%，主要为人员工资保险支出的增加；项目支出增加20000元，增长23%，主要为一网通办平台运营管理费的增加；其他支出增加0万元，增长0%，主要为无接待费等支出的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2022年我办机关运行经费共计安排107100元，为日常公用经费总体安排情况，包括办公费、印刷费、邮电费、差旅费、维修（护）费、会议费、培训费、公务接待费、劳务费、公务用车运行维护费、其他交通费用、办公设备购置费及其他费用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2022年，我办“三公”经费预算安排300元，与上年持平。其中，因公出国（境）费0元，与上年持平；公务用车购置及运维费0元(其中公务用车购置费0元，公务用车运行维护费0元），与上年持平；公务接待费300元，与上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2022年，编办将继续以习近平新时代中国特色社会主义思想为统领，充分发挥机构编制部门的职能作用，统筹体制机制创新和机构编制管理，深化机构和行政体制改革，统筹各类机构设置，优化编制资源配置。按照中央、省、市、县委部署扎实做好机构改革各项后续工作及责任清单动态调整工作；按照省、市安排部署，扎实做好进一步深化和完善乡镇机构改革相关工作；认真做好机关统一社会信用代码赋码和事业单位登记年检及监督管理工作，实行“一次性告知”制度，确保工作顺利完成；不断完善机构编制台账，严格落实机构编制统计月报制度，推进机构编制管理规范化建设，加强中文域名等网上名称管理工作；认真落实各项机构编制管理方针政策，不断提升编制部门的凝聚力和执行力，全面提升队伍履职尽责的能力和水平。</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w:t>
      </w:r>
    </w:p>
    <w:p>
      <w:pPr>
        <w:pStyle w:val="24"/>
      </w:pPr>
      <w:r>
        <w:t>绩效目标：确保实名制平台在机构管理中能够发挥有效运用。</w:t>
      </w:r>
    </w:p>
    <w:p>
      <w:pPr>
        <w:pStyle w:val="24"/>
      </w:pPr>
      <w:r>
        <w:t>绩效指标：保障平台单位数量和信息的准确度，按时完成实名制平台各项工作。</w:t>
      </w:r>
    </w:p>
    <w:p>
      <w:pPr>
        <w:pStyle w:val="24"/>
      </w:pPr>
      <w:r>
        <w:t>（二）</w:t>
      </w:r>
    </w:p>
    <w:p>
      <w:pPr>
        <w:pStyle w:val="24"/>
      </w:pPr>
      <w:r>
        <w:t>绩效目标：全面推进网上名称管理工作，保障中文域名全覆盖</w:t>
      </w:r>
    </w:p>
    <w:p>
      <w:pPr>
        <w:pStyle w:val="24"/>
      </w:pPr>
      <w:r>
        <w:t>绩效指标：保障域名数量全覆盖，保障中文域名及时有效及正常使用。</w:t>
      </w:r>
    </w:p>
    <w:p>
      <w:pPr>
        <w:pStyle w:val="24"/>
      </w:pPr>
      <w:r>
        <w:t>（三）</w:t>
      </w:r>
    </w:p>
    <w:p>
      <w:pPr>
        <w:pStyle w:val="24"/>
      </w:pPr>
      <w:r>
        <w:t>绩效目标：确保“一网通办”平台在机构管理中发挥有效作用。</w:t>
      </w:r>
    </w:p>
    <w:p>
      <w:pPr>
        <w:pStyle w:val="24"/>
      </w:pPr>
      <w:r>
        <w:t>绩效指标：保障平台单位数量和信息的准确度，按时完成一网通办平台各项工作，能够充分发挥一网通办信息共享平台的作用。</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完善制度建设。包括制定完善预算绩效管理制度、资金管理办法、工作保障制度等，为全年预算绩效目标的实现奠定制度基础。</w:t>
      </w:r>
    </w:p>
    <w:p>
      <w:pPr>
        <w:pStyle w:val="25"/>
      </w:pPr>
      <w:r>
        <w:t>加强支出管理。通过优化支出结构、编细编实预算、加快履行政府采购手续、尽快启动项目、及时支付资金、6月底前细化代编预算、按规定及时下达资金等多种措施，确保支出进度达标。</w:t>
      </w:r>
    </w:p>
    <w:p>
      <w:pPr>
        <w:pStyle w:val="25"/>
      </w:pPr>
      <w:r>
        <w:t>加强绩效运行监控。按要求开展绩效运行监控，发现问题及时采取措施，确保绩效目标如期保质实现。</w:t>
      </w:r>
    </w:p>
    <w:p>
      <w:pPr>
        <w:pStyle w:val="25"/>
      </w:pPr>
      <w:r>
        <w:t>做好绩效自评。按要求开展上年度部门预算绩效自评和重点评价工作，对评价中发现的问题及时整改，调整优化支出结构，提高财政资金使用效益。</w:t>
      </w:r>
    </w:p>
    <w:p>
      <w:pPr>
        <w:pStyle w:val="25"/>
      </w:pPr>
      <w:r>
        <w:t>规范财务资产管理。完善财务管理制度，严格审批程序，加强固定资产登记、使用和报废处置管理，做到支出合理，物尽其用。</w:t>
      </w:r>
    </w:p>
    <w:p>
      <w:pPr>
        <w:pStyle w:val="2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pStyle w:val="25"/>
        <w:rPr>
          <w:rFonts w:hint="eastAsia" w:ascii="方正楷体_GBK" w:hAnsi="方正楷体_GBK" w:eastAsia="方正仿宋_GBK" w:cs="方正楷体_GBK"/>
          <w:b/>
          <w:color w:val="000000"/>
          <w:sz w:val="32"/>
          <w:lang w:eastAsia="zh-CN"/>
        </w:rPr>
      </w:pPr>
      <w:r>
        <w:rPr>
          <w:rFonts w:hint="eastAsia"/>
          <w:lang w:eastAsia="zh-CN"/>
        </w:rPr>
        <w:t>本部门未安排专项资金，无专项资金绩效目标。</w:t>
      </w:r>
    </w:p>
    <w:p>
      <w:pPr>
        <w:pStyle w:val="26"/>
        <w:spacing w:before="0" w:after="0" w:line="240" w:lineRule="auto"/>
        <w:ind w:firstLine="640"/>
        <w:jc w:val="left"/>
        <w:outlineLvl w:val="9"/>
      </w:pPr>
      <w:r>
        <w:rPr>
          <w:rFonts w:ascii="方正楷体_GBK" w:hAnsi="方正楷体_GBK" w:eastAsia="方正楷体_GBK" w:cs="方正楷体_GBK"/>
          <w:b/>
          <w:color w:val="000000"/>
          <w:sz w:val="32"/>
        </w:rPr>
        <w:t>第三部分  预算项目绩效目标</w:t>
      </w:r>
    </w:p>
    <w:p>
      <w:pPr>
        <w:pStyle w:val="26"/>
        <w:spacing w:before="0" w:after="0"/>
        <w:ind w:firstLine="560"/>
        <w:jc w:val="left"/>
        <w:outlineLvl w:val="9"/>
      </w:pPr>
      <w:r>
        <w:rPr>
          <w:rFonts w:ascii="方正仿宋_GBK" w:hAnsi="方正仿宋_GBK" w:eastAsia="方正仿宋_GBK" w:cs="方正仿宋_GBK"/>
          <w:b/>
          <w:color w:val="000000"/>
          <w:sz w:val="28"/>
        </w:rPr>
        <w:t>1、“一网通办”平台运营管理费绩效目标表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1.确保“一网通办”平台在机构管理中发挥有效作用。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平台数</w:t>
            </w:r>
          </w:p>
        </w:tc>
        <w:tc>
          <w:tcPr>
            <w:tcW w:w="2466" w:type="dxa"/>
            <w:vAlign w:val="center"/>
          </w:tcPr>
          <w:p>
            <w:pPr>
              <w:pStyle w:val="28"/>
            </w:pPr>
            <w:r>
              <w:t>正常运转平台数</w:t>
            </w:r>
          </w:p>
        </w:tc>
        <w:tc>
          <w:tcPr>
            <w:tcW w:w="2466" w:type="dxa"/>
            <w:vAlign w:val="center"/>
          </w:tcPr>
          <w:p>
            <w:pPr>
              <w:pStyle w:val="28"/>
            </w:pPr>
            <w:r>
              <w:t>1个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一网通办平台信息准确率</w:t>
            </w:r>
          </w:p>
        </w:tc>
        <w:tc>
          <w:tcPr>
            <w:tcW w:w="2466" w:type="dxa"/>
            <w:vAlign w:val="center"/>
          </w:tcPr>
          <w:p>
            <w:pPr>
              <w:pStyle w:val="28"/>
            </w:pPr>
            <w:r>
              <w:t>保障平台内信息的准确度</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按期完成率</w:t>
            </w:r>
          </w:p>
        </w:tc>
        <w:tc>
          <w:tcPr>
            <w:tcW w:w="2466" w:type="dxa"/>
            <w:vAlign w:val="center"/>
          </w:tcPr>
          <w:p>
            <w:pPr>
              <w:pStyle w:val="28"/>
            </w:pPr>
            <w:r>
              <w:t>按期完成一网通办平台各项工作</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完成工作所需成本</w:t>
            </w:r>
          </w:p>
        </w:tc>
        <w:tc>
          <w:tcPr>
            <w:tcW w:w="2466" w:type="dxa"/>
            <w:vAlign w:val="center"/>
          </w:tcPr>
          <w:p>
            <w:pPr>
              <w:pStyle w:val="28"/>
            </w:pPr>
            <w:r>
              <w:t>完成工作所需成本</w:t>
            </w:r>
          </w:p>
        </w:tc>
        <w:tc>
          <w:tcPr>
            <w:tcW w:w="2466" w:type="dxa"/>
            <w:vAlign w:val="center"/>
          </w:tcPr>
          <w:p>
            <w:pPr>
              <w:pStyle w:val="28"/>
            </w:pPr>
            <w:r>
              <w:t>≤2万元</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可持续性服务</w:t>
            </w:r>
          </w:p>
        </w:tc>
        <w:tc>
          <w:tcPr>
            <w:tcW w:w="2466" w:type="dxa"/>
            <w:vAlign w:val="center"/>
          </w:tcPr>
          <w:p>
            <w:pPr>
              <w:pStyle w:val="28"/>
            </w:pPr>
            <w:r>
              <w:t>可持续性服务</w:t>
            </w:r>
          </w:p>
        </w:tc>
        <w:tc>
          <w:tcPr>
            <w:tcW w:w="2466" w:type="dxa"/>
            <w:vAlign w:val="center"/>
          </w:tcPr>
          <w:p>
            <w:pPr>
              <w:pStyle w:val="28"/>
            </w:pPr>
            <w:r>
              <w:t>能够充分发挥一网通办信息共享平台的作用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满意率</w:t>
            </w:r>
          </w:p>
        </w:tc>
        <w:tc>
          <w:tcPr>
            <w:tcW w:w="2466" w:type="dxa"/>
            <w:vAlign w:val="center"/>
          </w:tcPr>
          <w:p>
            <w:pPr>
              <w:pStyle w:val="28"/>
            </w:pPr>
            <w:r>
              <w:t>满意率</w:t>
            </w:r>
          </w:p>
        </w:tc>
        <w:tc>
          <w:tcPr>
            <w:tcW w:w="2466" w:type="dxa"/>
            <w:vAlign w:val="center"/>
          </w:tcPr>
          <w:p>
            <w:pPr>
              <w:pStyle w:val="28"/>
            </w:pPr>
            <w:r>
              <w:t>≥90%</w:t>
            </w:r>
          </w:p>
        </w:tc>
        <w:tc>
          <w:tcPr>
            <w:tcW w:w="2466" w:type="dxa"/>
            <w:vAlign w:val="center"/>
          </w:tcPr>
          <w:p>
            <w:pPr>
              <w:pStyle w:val="28"/>
            </w:pPr>
            <w:r>
              <w:t>实际情况</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2、实名制平台网络租赁及运行维护绩效目标表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1.确保实名制平台在机构管理中能够发挥有效作用。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平台数</w:t>
            </w:r>
          </w:p>
        </w:tc>
        <w:tc>
          <w:tcPr>
            <w:tcW w:w="2466" w:type="dxa"/>
            <w:vAlign w:val="center"/>
          </w:tcPr>
          <w:p>
            <w:pPr>
              <w:pStyle w:val="28"/>
            </w:pPr>
            <w:r>
              <w:t>正常运转平台数</w:t>
            </w:r>
          </w:p>
        </w:tc>
        <w:tc>
          <w:tcPr>
            <w:tcW w:w="2466" w:type="dxa"/>
            <w:vAlign w:val="center"/>
          </w:tcPr>
          <w:p>
            <w:pPr>
              <w:pStyle w:val="28"/>
            </w:pPr>
            <w:r>
              <w:t>1个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实名制平台信息准确率</w:t>
            </w:r>
          </w:p>
        </w:tc>
        <w:tc>
          <w:tcPr>
            <w:tcW w:w="2466" w:type="dxa"/>
            <w:vAlign w:val="center"/>
          </w:tcPr>
          <w:p>
            <w:pPr>
              <w:pStyle w:val="28"/>
            </w:pPr>
            <w:r>
              <w:t>保障平台内信息的准确度</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按期完成率</w:t>
            </w:r>
          </w:p>
        </w:tc>
        <w:tc>
          <w:tcPr>
            <w:tcW w:w="2466" w:type="dxa"/>
            <w:vAlign w:val="center"/>
          </w:tcPr>
          <w:p>
            <w:pPr>
              <w:pStyle w:val="28"/>
            </w:pPr>
            <w:r>
              <w:t>年内按上级要求及实际需求完成平台各项工作</w:t>
            </w:r>
          </w:p>
        </w:tc>
        <w:tc>
          <w:tcPr>
            <w:tcW w:w="2466" w:type="dxa"/>
            <w:vAlign w:val="center"/>
          </w:tcPr>
          <w:p>
            <w:pPr>
              <w:pStyle w:val="28"/>
            </w:pPr>
            <w:r>
              <w:t>≥95%</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完成工作所需成本</w:t>
            </w:r>
          </w:p>
        </w:tc>
        <w:tc>
          <w:tcPr>
            <w:tcW w:w="2466" w:type="dxa"/>
            <w:vAlign w:val="center"/>
          </w:tcPr>
          <w:p>
            <w:pPr>
              <w:pStyle w:val="28"/>
            </w:pPr>
            <w:r>
              <w:t>控制所需成本在预算范围内</w:t>
            </w:r>
          </w:p>
        </w:tc>
        <w:tc>
          <w:tcPr>
            <w:tcW w:w="2466" w:type="dxa"/>
            <w:vAlign w:val="center"/>
          </w:tcPr>
          <w:p>
            <w:pPr>
              <w:pStyle w:val="28"/>
            </w:pPr>
            <w:r>
              <w:t>≤1.1万元</w:t>
            </w:r>
          </w:p>
        </w:tc>
        <w:tc>
          <w:tcPr>
            <w:tcW w:w="2466" w:type="dxa"/>
            <w:vAlign w:val="center"/>
          </w:tcPr>
          <w:p>
            <w:pPr>
              <w:pStyle w:val="2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可持续性服务</w:t>
            </w:r>
          </w:p>
        </w:tc>
        <w:tc>
          <w:tcPr>
            <w:tcW w:w="2466" w:type="dxa"/>
            <w:vAlign w:val="center"/>
          </w:tcPr>
          <w:p>
            <w:pPr>
              <w:pStyle w:val="28"/>
            </w:pPr>
            <w:r>
              <w:t>可持续性服务</w:t>
            </w:r>
          </w:p>
        </w:tc>
        <w:tc>
          <w:tcPr>
            <w:tcW w:w="2466" w:type="dxa"/>
            <w:vAlign w:val="center"/>
          </w:tcPr>
          <w:p>
            <w:pPr>
              <w:pStyle w:val="28"/>
            </w:pPr>
            <w:r>
              <w:t>能够头充分发挥机构编制统计在行政体制中的基础性作用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满意率</w:t>
            </w:r>
          </w:p>
        </w:tc>
        <w:tc>
          <w:tcPr>
            <w:tcW w:w="2466" w:type="dxa"/>
            <w:vAlign w:val="center"/>
          </w:tcPr>
          <w:p>
            <w:pPr>
              <w:pStyle w:val="28"/>
            </w:pPr>
            <w:r>
              <w:t>满意率</w:t>
            </w:r>
          </w:p>
        </w:tc>
        <w:tc>
          <w:tcPr>
            <w:tcW w:w="2466" w:type="dxa"/>
            <w:vAlign w:val="center"/>
          </w:tcPr>
          <w:p>
            <w:pPr>
              <w:pStyle w:val="28"/>
            </w:pPr>
            <w:r>
              <w:t>≥90%</w:t>
            </w:r>
          </w:p>
        </w:tc>
        <w:tc>
          <w:tcPr>
            <w:tcW w:w="2466" w:type="dxa"/>
            <w:vAlign w:val="center"/>
          </w:tcPr>
          <w:p>
            <w:pPr>
              <w:pStyle w:val="28"/>
            </w:pPr>
            <w:r>
              <w:t>相关要求</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3、中文域名注册管理工作绩效目标表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pPr>
            <w:r>
              <w:t>绩效目标</w:t>
            </w:r>
          </w:p>
        </w:tc>
        <w:tc>
          <w:tcPr>
            <w:tcW w:w="7399" w:type="dxa"/>
            <w:tcBorders>
              <w:bottom w:val="single" w:color="FFFFFF" w:sz="6" w:space="0"/>
            </w:tcBorders>
            <w:vAlign w:val="center"/>
          </w:tcPr>
          <w:p>
            <w:pPr>
              <w:pStyle w:val="28"/>
            </w:pPr>
            <w:r>
              <w:t>1.全面推进网上名称管理工作，完成网上注册和网上挂名两个“全面覆盖”工作目标，在经费上保证中文域名全覆盖。</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7"/>
            </w:pPr>
            <w:r>
              <w:t>一级指标</w:t>
            </w:r>
          </w:p>
        </w:tc>
        <w:tc>
          <w:tcPr>
            <w:tcW w:w="2466" w:type="dxa"/>
            <w:vAlign w:val="center"/>
          </w:tcPr>
          <w:p>
            <w:pPr>
              <w:pStyle w:val="27"/>
            </w:pPr>
            <w:r>
              <w:t>二级指标</w:t>
            </w:r>
          </w:p>
        </w:tc>
        <w:tc>
          <w:tcPr>
            <w:tcW w:w="2466" w:type="dxa"/>
            <w:vAlign w:val="center"/>
          </w:tcPr>
          <w:p>
            <w:pPr>
              <w:pStyle w:val="27"/>
            </w:pPr>
            <w:r>
              <w:t>三级指标</w:t>
            </w:r>
          </w:p>
        </w:tc>
        <w:tc>
          <w:tcPr>
            <w:tcW w:w="2466" w:type="dxa"/>
            <w:vAlign w:val="center"/>
          </w:tcPr>
          <w:p>
            <w:pPr>
              <w:pStyle w:val="27"/>
            </w:pPr>
            <w:r>
              <w:t>绩效指标描述</w:t>
            </w:r>
          </w:p>
        </w:tc>
        <w:tc>
          <w:tcPr>
            <w:tcW w:w="2466" w:type="dxa"/>
            <w:vAlign w:val="center"/>
          </w:tcPr>
          <w:p>
            <w:pPr>
              <w:pStyle w:val="27"/>
            </w:pPr>
            <w:r>
              <w:t>指标值</w:t>
            </w:r>
          </w:p>
        </w:tc>
        <w:tc>
          <w:tcPr>
            <w:tcW w:w="2466"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29"/>
            </w:pPr>
            <w:r>
              <w:t>产出指标</w:t>
            </w:r>
          </w:p>
        </w:tc>
        <w:tc>
          <w:tcPr>
            <w:tcW w:w="2466" w:type="dxa"/>
            <w:vAlign w:val="center"/>
          </w:tcPr>
          <w:p>
            <w:pPr>
              <w:pStyle w:val="28"/>
            </w:pPr>
            <w:r>
              <w:t>数量指标</w:t>
            </w:r>
          </w:p>
        </w:tc>
        <w:tc>
          <w:tcPr>
            <w:tcW w:w="2466" w:type="dxa"/>
            <w:vAlign w:val="center"/>
          </w:tcPr>
          <w:p>
            <w:pPr>
              <w:pStyle w:val="28"/>
            </w:pPr>
            <w:r>
              <w:t>单位数</w:t>
            </w:r>
          </w:p>
        </w:tc>
        <w:tc>
          <w:tcPr>
            <w:tcW w:w="2466" w:type="dxa"/>
            <w:vAlign w:val="center"/>
          </w:tcPr>
          <w:p>
            <w:pPr>
              <w:pStyle w:val="28"/>
            </w:pPr>
            <w:r>
              <w:t>域名正常使用单位数</w:t>
            </w:r>
          </w:p>
        </w:tc>
        <w:tc>
          <w:tcPr>
            <w:tcW w:w="2466" w:type="dxa"/>
            <w:vAlign w:val="center"/>
          </w:tcPr>
          <w:p>
            <w:pPr>
              <w:pStyle w:val="28"/>
            </w:pPr>
            <w:r>
              <w:t>≤263个</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质量指标</w:t>
            </w:r>
          </w:p>
        </w:tc>
        <w:tc>
          <w:tcPr>
            <w:tcW w:w="2466" w:type="dxa"/>
            <w:vAlign w:val="center"/>
          </w:tcPr>
          <w:p>
            <w:pPr>
              <w:pStyle w:val="28"/>
            </w:pPr>
            <w:r>
              <w:t>中文域名合格</w:t>
            </w:r>
          </w:p>
        </w:tc>
        <w:tc>
          <w:tcPr>
            <w:tcW w:w="2466" w:type="dxa"/>
            <w:vAlign w:val="center"/>
          </w:tcPr>
          <w:p>
            <w:pPr>
              <w:pStyle w:val="28"/>
            </w:pPr>
            <w:r>
              <w:t>中文域名正常使用</w:t>
            </w:r>
          </w:p>
        </w:tc>
        <w:tc>
          <w:tcPr>
            <w:tcW w:w="2466" w:type="dxa"/>
            <w:vAlign w:val="center"/>
          </w:tcPr>
          <w:p>
            <w:pPr>
              <w:pStyle w:val="28"/>
            </w:pPr>
            <w:r>
              <w:t>中文域名正常使用</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时效指标</w:t>
            </w:r>
          </w:p>
        </w:tc>
        <w:tc>
          <w:tcPr>
            <w:tcW w:w="2466" w:type="dxa"/>
            <w:vAlign w:val="center"/>
          </w:tcPr>
          <w:p>
            <w:pPr>
              <w:pStyle w:val="28"/>
            </w:pPr>
            <w:r>
              <w:t>及时有效性</w:t>
            </w:r>
          </w:p>
        </w:tc>
        <w:tc>
          <w:tcPr>
            <w:tcW w:w="2466" w:type="dxa"/>
            <w:vAlign w:val="center"/>
          </w:tcPr>
          <w:p>
            <w:pPr>
              <w:pStyle w:val="28"/>
            </w:pPr>
            <w:r>
              <w:t>保障中文域名及时交费</w:t>
            </w:r>
          </w:p>
        </w:tc>
        <w:tc>
          <w:tcPr>
            <w:tcW w:w="2466" w:type="dxa"/>
            <w:vAlign w:val="center"/>
          </w:tcPr>
          <w:p>
            <w:pPr>
              <w:pStyle w:val="28"/>
            </w:pPr>
            <w:r>
              <w:t>中文域名处于有效期内</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6"/>
            </w:pPr>
          </w:p>
        </w:tc>
        <w:tc>
          <w:tcPr>
            <w:tcW w:w="2466" w:type="dxa"/>
            <w:vAlign w:val="center"/>
          </w:tcPr>
          <w:p>
            <w:pPr>
              <w:pStyle w:val="28"/>
            </w:pPr>
            <w:r>
              <w:t>成本指标</w:t>
            </w:r>
          </w:p>
        </w:tc>
        <w:tc>
          <w:tcPr>
            <w:tcW w:w="2466" w:type="dxa"/>
            <w:vAlign w:val="center"/>
          </w:tcPr>
          <w:p>
            <w:pPr>
              <w:pStyle w:val="28"/>
            </w:pPr>
            <w:r>
              <w:t>完成工作需要费用成本</w:t>
            </w:r>
          </w:p>
        </w:tc>
        <w:tc>
          <w:tcPr>
            <w:tcW w:w="2466" w:type="dxa"/>
            <w:vAlign w:val="center"/>
          </w:tcPr>
          <w:p>
            <w:pPr>
              <w:pStyle w:val="28"/>
            </w:pPr>
            <w:r>
              <w:t>完成中文域名工作所需费用成本</w:t>
            </w:r>
          </w:p>
        </w:tc>
        <w:tc>
          <w:tcPr>
            <w:tcW w:w="2466" w:type="dxa"/>
            <w:vAlign w:val="center"/>
          </w:tcPr>
          <w:p>
            <w:pPr>
              <w:pStyle w:val="28"/>
            </w:pPr>
            <w:r>
              <w:t>≤5.26万元</w:t>
            </w:r>
          </w:p>
        </w:tc>
        <w:tc>
          <w:tcPr>
            <w:tcW w:w="2466" w:type="dxa"/>
            <w:vAlign w:val="center"/>
          </w:tcPr>
          <w:p>
            <w:pPr>
              <w:pStyle w:val="2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效益指标</w:t>
            </w:r>
          </w:p>
        </w:tc>
        <w:tc>
          <w:tcPr>
            <w:tcW w:w="2466" w:type="dxa"/>
            <w:vAlign w:val="center"/>
          </w:tcPr>
          <w:p>
            <w:pPr>
              <w:pStyle w:val="28"/>
            </w:pPr>
            <w:r>
              <w:t>可持续影响指标</w:t>
            </w:r>
          </w:p>
        </w:tc>
        <w:tc>
          <w:tcPr>
            <w:tcW w:w="2466" w:type="dxa"/>
            <w:vAlign w:val="center"/>
          </w:tcPr>
          <w:p>
            <w:pPr>
              <w:pStyle w:val="28"/>
            </w:pPr>
            <w:r>
              <w:t>长期使用性</w:t>
            </w:r>
          </w:p>
        </w:tc>
        <w:tc>
          <w:tcPr>
            <w:tcW w:w="2466" w:type="dxa"/>
            <w:vAlign w:val="center"/>
          </w:tcPr>
          <w:p>
            <w:pPr>
              <w:pStyle w:val="28"/>
            </w:pPr>
            <w:r>
              <w:t>长期使用性</w:t>
            </w:r>
          </w:p>
        </w:tc>
        <w:tc>
          <w:tcPr>
            <w:tcW w:w="2466" w:type="dxa"/>
            <w:vAlign w:val="center"/>
          </w:tcPr>
          <w:p>
            <w:pPr>
              <w:pStyle w:val="28"/>
            </w:pPr>
            <w:r>
              <w:t>≥90%</w:t>
            </w:r>
          </w:p>
        </w:tc>
        <w:tc>
          <w:tcPr>
            <w:tcW w:w="2466" w:type="dxa"/>
            <w:vAlign w:val="center"/>
          </w:tcPr>
          <w:p>
            <w:pPr>
              <w:pStyle w:val="2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29"/>
            </w:pPr>
            <w:r>
              <w:t>满意度指标</w:t>
            </w:r>
          </w:p>
        </w:tc>
        <w:tc>
          <w:tcPr>
            <w:tcW w:w="2466" w:type="dxa"/>
            <w:vAlign w:val="center"/>
          </w:tcPr>
          <w:p>
            <w:pPr>
              <w:pStyle w:val="28"/>
            </w:pPr>
            <w:r>
              <w:t>服务对象满意度指标</w:t>
            </w:r>
          </w:p>
        </w:tc>
        <w:tc>
          <w:tcPr>
            <w:tcW w:w="2466" w:type="dxa"/>
            <w:vAlign w:val="center"/>
          </w:tcPr>
          <w:p>
            <w:pPr>
              <w:pStyle w:val="28"/>
            </w:pPr>
            <w:r>
              <w:t>服务对象满意度</w:t>
            </w:r>
          </w:p>
        </w:tc>
        <w:tc>
          <w:tcPr>
            <w:tcW w:w="2466" w:type="dxa"/>
            <w:vAlign w:val="center"/>
          </w:tcPr>
          <w:p>
            <w:pPr>
              <w:pStyle w:val="28"/>
            </w:pPr>
            <w:r>
              <w:t>服务对象满意度</w:t>
            </w:r>
          </w:p>
        </w:tc>
        <w:tc>
          <w:tcPr>
            <w:tcW w:w="2466" w:type="dxa"/>
            <w:vAlign w:val="center"/>
          </w:tcPr>
          <w:p>
            <w:pPr>
              <w:pStyle w:val="28"/>
            </w:pPr>
            <w:r>
              <w:t>≥95%</w:t>
            </w:r>
          </w:p>
        </w:tc>
        <w:tc>
          <w:tcPr>
            <w:tcW w:w="2466" w:type="dxa"/>
            <w:vAlign w:val="center"/>
          </w:tcPr>
          <w:p>
            <w:pPr>
              <w:pStyle w:val="28"/>
            </w:pPr>
            <w:r>
              <w:t>相关要求</w:t>
            </w:r>
          </w:p>
        </w:tc>
      </w:tr>
    </w:tbl>
    <w:p>
      <w:pPr>
        <w:pStyle w:val="26"/>
        <w:sectPr>
          <w:pgSz w:w="16840" w:h="11900" w:orient="landscape"/>
          <w:pgMar w:top="1361" w:right="1020" w:bottom="1361"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2022年，高邑县编办安排政府采购预算0.00万元。具体内容见下表。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225高邑县编办</w:t>
            </w:r>
          </w:p>
        </w:tc>
        <w:tc>
          <w:tcPr>
            <w:tcW w:w="831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高邑县编办（含所属单位）上年末固定资产金额为1.53万元（详见下表）。本年度拟购置固定资产总额为0.00万元，已按要求列入政府采购预算，详见政府采购预算表。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225高邑县编办</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bookmarkStart w:id="18" w:name="_GoBack"/>
            <w:bookmarkEnd w:id="18"/>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1.53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C2E68"/>
    <w:multiLevelType w:val="singleLevel"/>
    <w:tmpl w:val="561C2E68"/>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36C23132"/>
    <w:rsid w:val="46802FA3"/>
    <w:rsid w:val="60C75FBB"/>
    <w:rsid w:val="6B1B1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3e215a3b-ec75-4f8a-aeb8-1243558ce2a1"/>
    <w:qFormat/>
    <w:uiPriority w:val="0"/>
    <w:rPr>
      <w:rFonts w:ascii="Times New Roman" w:hAnsi="Times New Roman" w:eastAsia="Times New Roman" w:cstheme="minorBidi"/>
      <w:sz w:val="24"/>
      <w:szCs w:val="24"/>
      <w:lang w:val="en-US" w:eastAsia="uk-UA" w:bidi="ar-SA"/>
    </w:rPr>
  </w:style>
  <w:style w:type="paragraph" w:customStyle="1" w:styleId="27">
    <w:name w:val="单元格样式1_ebcd07a4-320b-4d7c-8a54-d34096e3145a"/>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9ba16688-ec8d-468e-b33a-95b1f74af91c"/>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d6415e99-f88a-494e-80e0-4b1e2a1b056a"/>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2022-02-10T14:07:50Z</dcterms:created>
  <dcterms:modified xsi:type="dcterms:W3CDTF">2022-02-10T06:07:50Z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2022-02-10T14:07:49Z</dcterms:created>
  <dcterms:modified xsi:type="dcterms:W3CDTF">2022-02-10T06:07:49Z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2022-02-10T14:07:47Z</dcterms:created>
  <dcterms:modified xsi:type="dcterms:W3CDTF">2022-02-10T06:07:47Z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2022-02-10T14:07:47Z</dcterms:created>
  <dcterms:modified xsi:type="dcterms:W3CDTF">2022-02-10T06:07:46Z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3048a-aaa4-47eb-93a8-c5f8e568720b}">
  <ds:schemaRefs/>
</ds:datastoreItem>
</file>

<file path=customXml/itemProps3.xml><?xml version="1.0" encoding="utf-8"?>
<ds:datastoreItem xmlns:ds="http://schemas.openxmlformats.org/officeDocument/2006/customXml" ds:itemID="{5afc4b71-864a-4566-8ae3-b6435b704e9a}">
  <ds:schemaRefs/>
</ds:datastoreItem>
</file>

<file path=customXml/itemProps4.xml><?xml version="1.0" encoding="utf-8"?>
<ds:datastoreItem xmlns:ds="http://schemas.openxmlformats.org/officeDocument/2006/customXml" ds:itemID="{19567143-e577-43b9-ab04-ab58245785cc}">
  <ds:schemaRefs/>
</ds:datastoreItem>
</file>

<file path=customXml/itemProps5.xml><?xml version="1.0" encoding="utf-8"?>
<ds:datastoreItem xmlns:ds="http://schemas.openxmlformats.org/officeDocument/2006/customXml" ds:itemID="{17d8ecf0-57c0-4a84-abff-99ecabf64b3e}">
  <ds:schemaRefs/>
</ds:datastoreItem>
</file>

<file path=customXml/itemProps6.xml><?xml version="1.0" encoding="utf-8"?>
<ds:datastoreItem xmlns:ds="http://schemas.openxmlformats.org/officeDocument/2006/customXml" ds:itemID="{dcdfc529-acb8-4e79-8117-8af14d552219}">
  <ds:schemaRefs/>
</ds:datastoreItem>
</file>

<file path=customXml/itemProps7.xml><?xml version="1.0" encoding="utf-8"?>
<ds:datastoreItem xmlns:ds="http://schemas.openxmlformats.org/officeDocument/2006/customXml" ds:itemID="{3534d878-1e2b-4e88-81bf-0dec094618ba}">
  <ds:schemaRefs/>
</ds:datastoreItem>
</file>

<file path=customXml/itemProps8.xml><?xml version="1.0" encoding="utf-8"?>
<ds:datastoreItem xmlns:ds="http://schemas.openxmlformats.org/officeDocument/2006/customXml" ds:itemID="{42bcaa1a-c601-4e25-bea8-4811a06a292e}">
  <ds:schemaRefs/>
</ds:datastoreItem>
</file>

<file path=customXml/itemProps9.xml><?xml version="1.0" encoding="utf-8"?>
<ds:datastoreItem xmlns:ds="http://schemas.openxmlformats.org/officeDocument/2006/customXml" ds:itemID="{52af9c69-debd-41e2-a52f-d0c4d5416ed4}">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Office_10.8.2.6948_F1E327BC-269C-435d-A152-05C5408002CA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2022-02-10T14:07:00Z</dcterms:created>
  <dc:creator>Administrator</dc:creator>
  <cp:lastModifiedBy>Administrator</cp:lastModifiedBy>
  <dcterms:modified xsi:type="dcterms:W3CDTF">2022-02-11T08:39:45Z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