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val="0"/>
          <w:bCs/>
          <w:spacing w:val="20"/>
          <w:sz w:val="44"/>
          <w:szCs w:val="44"/>
        </w:rPr>
      </w:pPr>
      <w:bookmarkStart w:id="0" w:name="_GoBack"/>
      <w:r>
        <w:rPr>
          <w:rFonts w:hint="eastAsia" w:ascii="方正小标宋简体" w:eastAsia="方正小标宋简体"/>
          <w:b w:val="0"/>
          <w:bCs/>
          <w:spacing w:val="20"/>
          <w:sz w:val="44"/>
          <w:szCs w:val="44"/>
        </w:rPr>
        <w:t>鸡泽县</w:t>
      </w:r>
      <w:r>
        <w:rPr>
          <w:rFonts w:hint="eastAsia" w:ascii="方正小标宋简体" w:eastAsia="方正小标宋简体"/>
          <w:b w:val="0"/>
          <w:bCs/>
          <w:spacing w:val="20"/>
          <w:sz w:val="44"/>
          <w:szCs w:val="44"/>
          <w:lang w:eastAsia="zh-CN"/>
        </w:rPr>
        <w:t>发改</w:t>
      </w:r>
      <w:r>
        <w:rPr>
          <w:rFonts w:hint="eastAsia" w:ascii="方正小标宋简体" w:eastAsia="方正小标宋简体"/>
          <w:b w:val="0"/>
          <w:bCs/>
          <w:spacing w:val="20"/>
          <w:sz w:val="44"/>
          <w:szCs w:val="44"/>
        </w:rPr>
        <w:t>局</w:t>
      </w:r>
      <w:r>
        <w:rPr>
          <w:rFonts w:hint="eastAsia" w:ascii="方正小标宋简体" w:eastAsia="方正小标宋简体"/>
          <w:b w:val="0"/>
          <w:bCs/>
          <w:spacing w:val="20"/>
          <w:sz w:val="44"/>
          <w:szCs w:val="44"/>
          <w:lang w:eastAsia="zh-CN"/>
        </w:rPr>
        <w:t>（商务）</w:t>
      </w:r>
      <w:r>
        <w:rPr>
          <w:rFonts w:hint="eastAsia" w:ascii="方正小标宋简体" w:eastAsia="方正小标宋简体"/>
          <w:b w:val="0"/>
          <w:bCs/>
          <w:spacing w:val="20"/>
          <w:sz w:val="44"/>
          <w:szCs w:val="44"/>
        </w:rPr>
        <w:t>责任清单</w:t>
      </w:r>
    </w:p>
    <w:p>
      <w:pPr>
        <w:numPr>
          <w:ilvl w:val="0"/>
          <w:numId w:val="1"/>
        </w:numPr>
        <w:spacing w:line="400" w:lineRule="exact"/>
        <w:jc w:val="center"/>
        <w:rPr>
          <w:rFonts w:hint="eastAsia" w:ascii="黑体" w:eastAsia="黑体"/>
          <w:b w:val="0"/>
          <w:bCs/>
          <w:spacing w:val="20"/>
          <w:sz w:val="32"/>
          <w:szCs w:val="32"/>
        </w:rPr>
      </w:pPr>
      <w:r>
        <w:rPr>
          <w:rFonts w:hint="eastAsia" w:ascii="黑体" w:eastAsia="黑体"/>
          <w:b w:val="0"/>
          <w:bCs/>
          <w:spacing w:val="20"/>
          <w:sz w:val="32"/>
          <w:szCs w:val="32"/>
        </w:rPr>
        <w:t>部门职责登记表</w:t>
      </w:r>
    </w:p>
    <w:bookmarkEnd w:id="0"/>
    <w:p>
      <w:pPr>
        <w:ind w:firstLine="150" w:firstLineChars="50"/>
        <w:rPr>
          <w:rFonts w:hint="eastAsia" w:eastAsia="仿宋"/>
          <w:sz w:val="30"/>
          <w:szCs w:val="30"/>
        </w:rPr>
      </w:pPr>
      <w:r>
        <w:rPr>
          <w:rFonts w:eastAsia="仿宋"/>
          <w:sz w:val="30"/>
          <w:szCs w:val="30"/>
        </w:rPr>
        <w:t>部门名称（盖章）：</w:t>
      </w:r>
      <w:r>
        <w:rPr>
          <w:rFonts w:hint="eastAsia" w:eastAsia="仿宋"/>
          <w:sz w:val="30"/>
          <w:szCs w:val="30"/>
        </w:rPr>
        <w:t>鸡泽县</w:t>
      </w:r>
      <w:r>
        <w:rPr>
          <w:rFonts w:hint="eastAsia" w:eastAsia="仿宋"/>
          <w:sz w:val="30"/>
          <w:szCs w:val="30"/>
          <w:lang w:eastAsia="zh-CN"/>
        </w:rPr>
        <w:t>发改（</w:t>
      </w:r>
      <w:r>
        <w:rPr>
          <w:rFonts w:hint="eastAsia" w:eastAsia="仿宋"/>
          <w:sz w:val="30"/>
          <w:szCs w:val="30"/>
        </w:rPr>
        <w:t>商务</w:t>
      </w:r>
      <w:r>
        <w:rPr>
          <w:rFonts w:hint="eastAsia" w:eastAsia="仿宋"/>
          <w:sz w:val="30"/>
          <w:szCs w:val="30"/>
          <w:lang w:eastAsia="zh-CN"/>
        </w:rPr>
        <w:t>）</w:t>
      </w:r>
      <w:r>
        <w:rPr>
          <w:rFonts w:hint="eastAsia" w:eastAsia="仿宋"/>
          <w:sz w:val="30"/>
          <w:szCs w:val="30"/>
        </w:rPr>
        <w:t>局</w:t>
      </w:r>
      <w:r>
        <w:rPr>
          <w:rFonts w:eastAsia="仿宋"/>
          <w:sz w:val="30"/>
          <w:szCs w:val="30"/>
        </w:rPr>
        <w:t xml:space="preserve">                         </w:t>
      </w:r>
      <w:r>
        <w:rPr>
          <w:rFonts w:hint="eastAsia" w:eastAsia="仿宋"/>
          <w:sz w:val="30"/>
          <w:szCs w:val="30"/>
        </w:rPr>
        <w:t>主要负责人签字：</w:t>
      </w:r>
    </w:p>
    <w:tbl>
      <w:tblPr>
        <w:tblStyle w:val="5"/>
        <w:tblW w:w="13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4820"/>
        <w:gridCol w:w="5386"/>
        <w:gridCol w:w="1418"/>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1" w:type="dxa"/>
            <w:vAlign w:val="top"/>
          </w:tcPr>
          <w:p>
            <w:pPr>
              <w:jc w:val="center"/>
              <w:rPr>
                <w:rFonts w:hint="eastAsia" w:ascii="仿宋" w:hAnsi="仿宋" w:eastAsia="仿宋"/>
                <w:szCs w:val="21"/>
              </w:rPr>
            </w:pPr>
            <w:r>
              <w:rPr>
                <w:rFonts w:hint="eastAsia" w:ascii="仿宋" w:hAnsi="仿宋" w:eastAsia="仿宋"/>
                <w:szCs w:val="21"/>
              </w:rPr>
              <w:t>序号</w:t>
            </w:r>
          </w:p>
        </w:tc>
        <w:tc>
          <w:tcPr>
            <w:tcW w:w="4820" w:type="dxa"/>
            <w:vAlign w:val="top"/>
          </w:tcPr>
          <w:p>
            <w:pPr>
              <w:jc w:val="center"/>
              <w:rPr>
                <w:rFonts w:hint="eastAsia" w:ascii="仿宋" w:hAnsi="仿宋" w:eastAsia="仿宋"/>
                <w:szCs w:val="21"/>
              </w:rPr>
            </w:pPr>
            <w:r>
              <w:rPr>
                <w:rFonts w:hint="eastAsia" w:ascii="仿宋" w:hAnsi="仿宋" w:eastAsia="仿宋"/>
                <w:szCs w:val="21"/>
              </w:rPr>
              <w:t>主 要 职 责</w:t>
            </w:r>
          </w:p>
        </w:tc>
        <w:tc>
          <w:tcPr>
            <w:tcW w:w="5386" w:type="dxa"/>
            <w:vAlign w:val="top"/>
          </w:tcPr>
          <w:p>
            <w:pPr>
              <w:jc w:val="center"/>
              <w:rPr>
                <w:rFonts w:hint="eastAsia" w:ascii="仿宋" w:hAnsi="仿宋" w:eastAsia="仿宋"/>
                <w:szCs w:val="21"/>
              </w:rPr>
            </w:pPr>
            <w:r>
              <w:rPr>
                <w:rFonts w:hint="eastAsia" w:ascii="仿宋" w:hAnsi="仿宋" w:eastAsia="仿宋"/>
                <w:szCs w:val="21"/>
              </w:rPr>
              <w:t>具体工作事项</w:t>
            </w:r>
          </w:p>
        </w:tc>
        <w:tc>
          <w:tcPr>
            <w:tcW w:w="1418" w:type="dxa"/>
            <w:vAlign w:val="top"/>
          </w:tcPr>
          <w:p>
            <w:pPr>
              <w:jc w:val="center"/>
              <w:rPr>
                <w:rFonts w:hint="eastAsia" w:ascii="仿宋" w:hAnsi="仿宋" w:eastAsia="仿宋"/>
                <w:szCs w:val="21"/>
              </w:rPr>
            </w:pPr>
            <w:r>
              <w:rPr>
                <w:rFonts w:hint="eastAsia" w:ascii="仿宋" w:hAnsi="仿宋" w:eastAsia="仿宋"/>
                <w:szCs w:val="21"/>
              </w:rPr>
              <w:t>责任科室</w:t>
            </w:r>
          </w:p>
        </w:tc>
        <w:tc>
          <w:tcPr>
            <w:tcW w:w="838" w:type="dxa"/>
            <w:vAlign w:val="top"/>
          </w:tcPr>
          <w:p>
            <w:pPr>
              <w:jc w:val="center"/>
              <w:rPr>
                <w:rFonts w:hint="eastAsia" w:ascii="仿宋" w:hAnsi="仿宋" w:eastAsia="仿宋"/>
                <w:szCs w:val="21"/>
              </w:rPr>
            </w:pPr>
            <w:r>
              <w:rPr>
                <w:rFonts w:hint="eastAsia" w:ascii="仿宋" w:hAnsi="仿宋" w:eastAsia="仿宋"/>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841" w:type="dxa"/>
            <w:vAlign w:val="center"/>
          </w:tcPr>
          <w:p>
            <w:pPr>
              <w:jc w:val="center"/>
              <w:rPr>
                <w:rFonts w:ascii="仿宋" w:hAnsi="仿宋" w:eastAsia="仿宋"/>
                <w:szCs w:val="21"/>
              </w:rPr>
            </w:pPr>
            <w:r>
              <w:rPr>
                <w:rFonts w:ascii="仿宋" w:hAnsi="仿宋" w:eastAsia="仿宋"/>
                <w:szCs w:val="21"/>
              </w:rPr>
              <w:t>1</w:t>
            </w:r>
          </w:p>
        </w:tc>
        <w:tc>
          <w:tcPr>
            <w:tcW w:w="4820" w:type="dxa"/>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贯彻落实国家和省、市有关内外贸易、国际经济合作和招商引资的发展战略、方针、政策以及相关法律法规，拟订全县相应的发展规划以及规定、办法和措施并组织实施。研究经济全球化、区域经济合作、现代流通方式的发展趋势并提出建议。</w:t>
            </w:r>
          </w:p>
          <w:p>
            <w:pPr>
              <w:jc w:val="center"/>
              <w:rPr>
                <w:rFonts w:hint="eastAsia" w:ascii="仿宋" w:hAnsi="仿宋" w:eastAsia="仿宋"/>
                <w:szCs w:val="21"/>
              </w:rPr>
            </w:pPr>
          </w:p>
        </w:tc>
        <w:tc>
          <w:tcPr>
            <w:tcW w:w="5386" w:type="dxa"/>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贯彻执行国家服务贸易政策和促进服务出口规划、政策；承担牵头拟订全县服务贸易发展规划和组织实施工作。</w:t>
            </w:r>
          </w:p>
          <w:p>
            <w:pPr>
              <w:spacing w:line="440" w:lineRule="exact"/>
              <w:jc w:val="center"/>
              <w:rPr>
                <w:rFonts w:ascii="仿宋" w:hAnsi="仿宋" w:eastAsia="仿宋"/>
                <w:szCs w:val="21"/>
              </w:rPr>
            </w:pPr>
          </w:p>
        </w:tc>
        <w:tc>
          <w:tcPr>
            <w:tcW w:w="1418" w:type="dxa"/>
            <w:vAlign w:val="center"/>
          </w:tcPr>
          <w:p>
            <w:pPr>
              <w:spacing w:line="440" w:lineRule="exact"/>
              <w:jc w:val="center"/>
              <w:rPr>
                <w:rFonts w:hint="eastAsia" w:ascii="仿宋" w:hAnsi="仿宋" w:eastAsia="仿宋"/>
                <w:szCs w:val="21"/>
              </w:rPr>
            </w:pPr>
            <w:r>
              <w:rPr>
                <w:rFonts w:hint="eastAsia" w:ascii="仿宋" w:hAnsi="仿宋" w:eastAsia="仿宋" w:cs="宋体"/>
                <w:kern w:val="0"/>
                <w:szCs w:val="21"/>
              </w:rPr>
              <w:t>办公室</w:t>
            </w:r>
          </w:p>
        </w:tc>
        <w:tc>
          <w:tcPr>
            <w:tcW w:w="838" w:type="dxa"/>
            <w:vAlign w:val="center"/>
          </w:tcPr>
          <w:p>
            <w:pPr>
              <w:spacing w:line="4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841" w:type="dxa"/>
            <w:vAlign w:val="center"/>
          </w:tcPr>
          <w:p>
            <w:pPr>
              <w:jc w:val="center"/>
              <w:rPr>
                <w:rFonts w:ascii="仿宋" w:hAnsi="仿宋" w:eastAsia="仿宋"/>
                <w:szCs w:val="21"/>
              </w:rPr>
            </w:pPr>
            <w:r>
              <w:rPr>
                <w:rFonts w:hint="eastAsia" w:ascii="仿宋" w:hAnsi="仿宋" w:eastAsia="仿宋"/>
                <w:szCs w:val="21"/>
              </w:rPr>
              <w:t>2</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拟订全县国内贸易发展规划，促进城乡市场发展，提出引导国内外资金投向市场体系建设的政策，组织实施大宗产品批发市场规划和城市商业网点规划、商业体系建设工作，推进农村市场体系建设，组织实施农村现代流通网络工程。</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拟订全县国内贸易发展规划，提出引导国内外资金投向市场体系建设的政策，承担大宗产品批发市场规划和城市商业网点规划、商业体系建设指导工作，组织实施农村现代流通网络工程。承担农村市场体系和农产品流通体系建设推进工作.</w:t>
            </w:r>
          </w:p>
        </w:tc>
        <w:tc>
          <w:tcPr>
            <w:tcW w:w="1418" w:type="dxa"/>
            <w:vAlign w:val="center"/>
          </w:tcPr>
          <w:p>
            <w:pPr>
              <w:spacing w:line="440" w:lineRule="exact"/>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jc w:val="center"/>
        </w:trPr>
        <w:tc>
          <w:tcPr>
            <w:tcW w:w="841" w:type="dxa"/>
            <w:tcBorders>
              <w:top w:val="single" w:color="auto" w:sz="4" w:space="0"/>
            </w:tcBorders>
            <w:vAlign w:val="center"/>
          </w:tcPr>
          <w:p>
            <w:pPr>
              <w:jc w:val="center"/>
              <w:rPr>
                <w:rFonts w:hint="eastAsia" w:ascii="仿宋" w:hAnsi="仿宋" w:eastAsia="仿宋"/>
                <w:szCs w:val="21"/>
              </w:rPr>
            </w:pPr>
            <w:r>
              <w:rPr>
                <w:rFonts w:hint="eastAsia" w:ascii="仿宋" w:hAnsi="仿宋" w:eastAsia="仿宋"/>
                <w:szCs w:val="21"/>
              </w:rPr>
              <w:t>3</w:t>
            </w:r>
          </w:p>
        </w:tc>
        <w:tc>
          <w:tcPr>
            <w:tcW w:w="4820" w:type="dxa"/>
            <w:tcBorders>
              <w:top w:val="single" w:color="auto" w:sz="4" w:space="0"/>
            </w:tcBorders>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提出流通体制改革意见，负责推进流通产业结构调整，指导流通企业改革、商贸服务业和社区商业发展，提出促进商贸中小企业发展的政策建议，推动流通标准化和连锁经营、商业特许经营、物流配送、电子商务等现代流通方式的发展。</w:t>
            </w:r>
          </w:p>
          <w:p>
            <w:pPr>
              <w:autoSpaceDE w:val="0"/>
              <w:autoSpaceDN w:val="0"/>
              <w:adjustRightInd w:val="0"/>
              <w:jc w:val="left"/>
              <w:rPr>
                <w:rFonts w:ascii="仿宋" w:hAnsi="仿宋" w:eastAsia="仿宋" w:cs="宋体"/>
                <w:kern w:val="0"/>
                <w:szCs w:val="21"/>
              </w:rPr>
            </w:pPr>
          </w:p>
        </w:tc>
        <w:tc>
          <w:tcPr>
            <w:tcW w:w="5386" w:type="dxa"/>
            <w:tcBorders>
              <w:top w:val="single" w:color="auto" w:sz="4" w:space="0"/>
            </w:tcBorders>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提出流通体制改革意见，指导流通企业改革、商贸服务业和社区商业发展，承担扶持流通领域中小企业发展工作，推动流通标准化和连锁经营、商业特许经营、物流配送、电子商务等现代流通方式的发展。</w:t>
            </w:r>
          </w:p>
          <w:p>
            <w:pPr>
              <w:widowControl/>
              <w:jc w:val="center"/>
              <w:rPr>
                <w:rFonts w:ascii="仿宋" w:hAnsi="仿宋" w:eastAsia="仿宋" w:cs="宋体"/>
                <w:kern w:val="0"/>
                <w:szCs w:val="21"/>
              </w:rPr>
            </w:pPr>
          </w:p>
        </w:tc>
        <w:tc>
          <w:tcPr>
            <w:tcW w:w="1418" w:type="dxa"/>
            <w:tcBorders>
              <w:top w:val="single" w:color="auto" w:sz="4" w:space="0"/>
            </w:tcBorders>
            <w:vAlign w:val="center"/>
          </w:tcPr>
          <w:p>
            <w:pPr>
              <w:spacing w:line="440" w:lineRule="exact"/>
              <w:jc w:val="center"/>
              <w:rPr>
                <w:rFonts w:hint="eastAsia" w:ascii="仿宋" w:hAnsi="仿宋" w:eastAsia="仿宋"/>
                <w:szCs w:val="21"/>
              </w:rPr>
            </w:pPr>
            <w:r>
              <w:rPr>
                <w:rFonts w:hint="eastAsia" w:ascii="仿宋" w:hAnsi="仿宋" w:eastAsia="仿宋" w:cs="宋体"/>
                <w:kern w:val="0"/>
                <w:szCs w:val="21"/>
              </w:rPr>
              <w:t>办公室</w:t>
            </w:r>
          </w:p>
        </w:tc>
        <w:tc>
          <w:tcPr>
            <w:tcW w:w="838" w:type="dxa"/>
            <w:tcBorders>
              <w:top w:val="single" w:color="auto" w:sz="4" w:space="0"/>
            </w:tcBorders>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841" w:type="dxa"/>
            <w:vMerge w:val="restart"/>
            <w:vAlign w:val="center"/>
          </w:tcPr>
          <w:p>
            <w:pPr>
              <w:jc w:val="center"/>
              <w:rPr>
                <w:rFonts w:ascii="仿宋" w:hAnsi="仿宋" w:eastAsia="仿宋"/>
                <w:szCs w:val="21"/>
              </w:rPr>
            </w:pPr>
            <w:r>
              <w:rPr>
                <w:rFonts w:hint="eastAsia" w:ascii="仿宋" w:hAnsi="仿宋" w:eastAsia="仿宋"/>
                <w:szCs w:val="21"/>
              </w:rPr>
              <w:t>4</w:t>
            </w:r>
          </w:p>
          <w:p>
            <w:pPr>
              <w:jc w:val="center"/>
              <w:rPr>
                <w:rFonts w:hint="eastAsia" w:ascii="仿宋" w:hAnsi="仿宋" w:eastAsia="仿宋"/>
                <w:szCs w:val="21"/>
              </w:rPr>
            </w:pPr>
          </w:p>
        </w:tc>
        <w:tc>
          <w:tcPr>
            <w:tcW w:w="4820" w:type="dxa"/>
            <w:vMerge w:val="restart"/>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承担牵头协调整顿和规范市场经济秩序工作的责任，拟订全县规范市场运行、流通秩序的政策办法，推动商务领域信用建设，指导商业信用销售，建立市场诚信公共服务平台；按有关规定对特殊流通行业进行监督管理。</w:t>
            </w:r>
          </w:p>
        </w:tc>
        <w:tc>
          <w:tcPr>
            <w:tcW w:w="5386" w:type="dxa"/>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牵头协调全县整顿和规范市场经济秩序工作，推动商务领域信用建设，指导商业信用销售，建立市场诚信公共服务平台；按有关规定对特殊流通行业进行监督管理。</w:t>
            </w:r>
          </w:p>
          <w:p>
            <w:pPr>
              <w:jc w:val="center"/>
              <w:rPr>
                <w:rFonts w:ascii="仿宋" w:hAnsi="仿宋" w:eastAsia="仿宋" w:cs="宋体"/>
                <w:kern w:val="0"/>
                <w:szCs w:val="21"/>
              </w:rPr>
            </w:pPr>
          </w:p>
        </w:tc>
        <w:tc>
          <w:tcPr>
            <w:tcW w:w="1418" w:type="dxa"/>
            <w:vAlign w:val="center"/>
          </w:tcPr>
          <w:p>
            <w:pPr>
              <w:autoSpaceDE w:val="0"/>
              <w:autoSpaceDN w:val="0"/>
              <w:adjustRightInd w:val="0"/>
              <w:jc w:val="center"/>
              <w:rPr>
                <w:rFonts w:ascii="仿宋" w:hAnsi="仿宋" w:eastAsia="仿宋" w:cs="宋体"/>
                <w:kern w:val="0"/>
                <w:szCs w:val="21"/>
              </w:rPr>
            </w:pPr>
            <w:r>
              <w:rPr>
                <w:rFonts w:hint="eastAsia" w:ascii="仿宋" w:hAnsi="仿宋" w:eastAsia="仿宋" w:cs="宋体"/>
                <w:kern w:val="0"/>
                <w:szCs w:val="21"/>
              </w:rPr>
              <w:t>办公室</w:t>
            </w:r>
          </w:p>
          <w:p>
            <w:pPr>
              <w:spacing w:line="440" w:lineRule="exact"/>
              <w:jc w:val="center"/>
              <w:rPr>
                <w:rFonts w:hint="eastAsia" w:ascii="仿宋" w:hAnsi="仿宋" w:eastAsia="仿宋"/>
                <w:szCs w:val="21"/>
              </w:rPr>
            </w:pPr>
          </w:p>
        </w:tc>
        <w:tc>
          <w:tcPr>
            <w:tcW w:w="838" w:type="dxa"/>
            <w:vMerge w:val="restart"/>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41" w:type="dxa"/>
            <w:vMerge w:val="continue"/>
            <w:vAlign w:val="center"/>
          </w:tcPr>
          <w:p>
            <w:pPr>
              <w:jc w:val="center"/>
              <w:rPr>
                <w:rFonts w:hint="eastAsia" w:ascii="仿宋" w:hAnsi="仿宋" w:eastAsia="仿宋"/>
                <w:szCs w:val="21"/>
              </w:rPr>
            </w:pPr>
          </w:p>
        </w:tc>
        <w:tc>
          <w:tcPr>
            <w:tcW w:w="4820" w:type="dxa"/>
            <w:vMerge w:val="continue"/>
            <w:vAlign w:val="center"/>
          </w:tcPr>
          <w:p>
            <w:pPr>
              <w:autoSpaceDE w:val="0"/>
              <w:autoSpaceDN w:val="0"/>
              <w:adjustRightInd w:val="0"/>
              <w:ind w:firstLine="420" w:firstLineChars="200"/>
              <w:jc w:val="left"/>
              <w:rPr>
                <w:rFonts w:hint="eastAsia" w:ascii="仿宋" w:hAnsi="仿宋" w:eastAsia="仿宋" w:cs="宋体"/>
                <w:kern w:val="0"/>
                <w:szCs w:val="21"/>
              </w:rPr>
            </w:pPr>
          </w:p>
        </w:tc>
        <w:tc>
          <w:tcPr>
            <w:tcW w:w="5386" w:type="dxa"/>
            <w:vAlign w:val="center"/>
          </w:tcPr>
          <w:p>
            <w:pPr>
              <w:jc w:val="center"/>
              <w:rPr>
                <w:rFonts w:ascii="仿宋" w:hAnsi="仿宋" w:eastAsia="仿宋" w:cs="宋体"/>
                <w:kern w:val="0"/>
                <w:szCs w:val="21"/>
              </w:rPr>
            </w:pPr>
            <w:r>
              <w:rPr>
                <w:rFonts w:hint="eastAsia" w:ascii="仿宋" w:hAnsi="仿宋" w:eastAsia="仿宋" w:cs="宋体"/>
                <w:kern w:val="0"/>
                <w:szCs w:val="21"/>
                <w:lang w:eastAsia="zh-CN"/>
              </w:rPr>
              <w:t>按有关规定对汽车销售交易市场进行监督管理</w:t>
            </w:r>
          </w:p>
        </w:tc>
        <w:tc>
          <w:tcPr>
            <w:tcW w:w="1418" w:type="dxa"/>
            <w:vAlign w:val="center"/>
          </w:tcPr>
          <w:p>
            <w:pPr>
              <w:spacing w:line="440" w:lineRule="exact"/>
              <w:jc w:val="center"/>
              <w:rPr>
                <w:rFonts w:hint="eastAsia" w:ascii="仿宋" w:hAnsi="仿宋" w:eastAsia="仿宋"/>
                <w:szCs w:val="21"/>
              </w:rPr>
            </w:pPr>
            <w:r>
              <w:rPr>
                <w:rFonts w:hint="eastAsia" w:ascii="仿宋" w:hAnsi="仿宋" w:eastAsia="仿宋" w:cs="宋体"/>
                <w:kern w:val="0"/>
                <w:szCs w:val="21"/>
                <w:lang w:eastAsia="zh-CN"/>
              </w:rPr>
              <w:t>第二中队</w:t>
            </w:r>
          </w:p>
        </w:tc>
        <w:tc>
          <w:tcPr>
            <w:tcW w:w="838" w:type="dxa"/>
            <w:vMerge w:val="continue"/>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41" w:type="dxa"/>
            <w:vMerge w:val="continue"/>
            <w:vAlign w:val="center"/>
          </w:tcPr>
          <w:p>
            <w:pPr>
              <w:jc w:val="center"/>
              <w:rPr>
                <w:rFonts w:hint="eastAsia" w:ascii="仿宋" w:hAnsi="仿宋" w:eastAsia="仿宋"/>
                <w:szCs w:val="21"/>
              </w:rPr>
            </w:pPr>
          </w:p>
        </w:tc>
        <w:tc>
          <w:tcPr>
            <w:tcW w:w="4820" w:type="dxa"/>
            <w:vMerge w:val="continue"/>
            <w:vAlign w:val="center"/>
          </w:tcPr>
          <w:p>
            <w:pPr>
              <w:autoSpaceDE w:val="0"/>
              <w:autoSpaceDN w:val="0"/>
              <w:adjustRightInd w:val="0"/>
              <w:ind w:firstLine="420" w:firstLineChars="200"/>
              <w:jc w:val="left"/>
              <w:rPr>
                <w:rFonts w:hint="eastAsia" w:ascii="仿宋" w:hAnsi="仿宋" w:eastAsia="仿宋" w:cs="宋体"/>
                <w:kern w:val="0"/>
                <w:szCs w:val="21"/>
              </w:rPr>
            </w:pPr>
          </w:p>
        </w:tc>
        <w:tc>
          <w:tcPr>
            <w:tcW w:w="5386" w:type="dxa"/>
            <w:vAlign w:val="center"/>
          </w:tcPr>
          <w:p>
            <w:pPr>
              <w:jc w:val="center"/>
              <w:rPr>
                <w:rFonts w:ascii="仿宋" w:hAnsi="仿宋" w:eastAsia="仿宋" w:cs="宋体"/>
                <w:kern w:val="0"/>
                <w:szCs w:val="21"/>
              </w:rPr>
            </w:pPr>
            <w:r>
              <w:rPr>
                <w:rFonts w:hint="eastAsia" w:ascii="仿宋" w:hAnsi="仿宋" w:eastAsia="仿宋" w:cs="仿宋"/>
                <w:sz w:val="21"/>
                <w:szCs w:val="21"/>
              </w:rPr>
              <w:t>建立健全“单用途商业预付卡业务信息系统</w:t>
            </w:r>
            <w:r>
              <w:rPr>
                <w:rFonts w:hint="eastAsia" w:ascii="仿宋" w:hAnsi="仿宋" w:eastAsia="仿宋" w:cs="仿宋"/>
                <w:sz w:val="21"/>
                <w:szCs w:val="21"/>
                <w:lang w:eastAsia="zh-CN"/>
              </w:rPr>
              <w:t>，并按有关规定进行监督管理</w:t>
            </w:r>
          </w:p>
        </w:tc>
        <w:tc>
          <w:tcPr>
            <w:tcW w:w="1418" w:type="dxa"/>
            <w:vAlign w:val="center"/>
          </w:tcPr>
          <w:p>
            <w:pPr>
              <w:spacing w:line="440" w:lineRule="exact"/>
              <w:jc w:val="center"/>
              <w:rPr>
                <w:rFonts w:hint="eastAsia" w:ascii="仿宋" w:hAnsi="仿宋" w:eastAsia="仿宋"/>
                <w:szCs w:val="21"/>
              </w:rPr>
            </w:pPr>
            <w:r>
              <w:rPr>
                <w:rFonts w:hint="eastAsia" w:ascii="仿宋" w:hAnsi="仿宋" w:eastAsia="仿宋" w:cs="宋体"/>
                <w:kern w:val="0"/>
                <w:szCs w:val="21"/>
                <w:lang w:eastAsia="zh-CN"/>
              </w:rPr>
              <w:t>第二中队</w:t>
            </w:r>
          </w:p>
        </w:tc>
        <w:tc>
          <w:tcPr>
            <w:tcW w:w="838" w:type="dxa"/>
            <w:vMerge w:val="continue"/>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1" w:type="dxa"/>
            <w:vMerge w:val="continue"/>
            <w:vAlign w:val="center"/>
          </w:tcPr>
          <w:p>
            <w:pPr>
              <w:jc w:val="center"/>
              <w:rPr>
                <w:rFonts w:hint="eastAsia" w:ascii="仿宋" w:hAnsi="仿宋" w:eastAsia="仿宋"/>
                <w:szCs w:val="21"/>
              </w:rPr>
            </w:pPr>
          </w:p>
        </w:tc>
        <w:tc>
          <w:tcPr>
            <w:tcW w:w="4820" w:type="dxa"/>
            <w:vMerge w:val="continue"/>
            <w:vAlign w:val="center"/>
          </w:tcPr>
          <w:p>
            <w:pPr>
              <w:widowControl/>
              <w:jc w:val="center"/>
              <w:rPr>
                <w:rFonts w:ascii="仿宋" w:hAnsi="仿宋" w:eastAsia="仿宋" w:cs="宋体"/>
                <w:kern w:val="0"/>
                <w:szCs w:val="21"/>
              </w:rPr>
            </w:pPr>
          </w:p>
        </w:tc>
        <w:tc>
          <w:tcPr>
            <w:tcW w:w="5386" w:type="dxa"/>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拟订全县规范市场运行、流通秩序的政策办法。</w:t>
            </w:r>
          </w:p>
          <w:p>
            <w:pPr>
              <w:widowControl/>
              <w:jc w:val="center"/>
              <w:rPr>
                <w:rFonts w:ascii="仿宋" w:hAnsi="仿宋" w:eastAsia="仿宋" w:cs="宋体"/>
                <w:kern w:val="0"/>
                <w:szCs w:val="21"/>
              </w:rPr>
            </w:pPr>
          </w:p>
        </w:tc>
        <w:tc>
          <w:tcPr>
            <w:tcW w:w="1418" w:type="dxa"/>
            <w:vAlign w:val="center"/>
          </w:tcPr>
          <w:p>
            <w:pPr>
              <w:spacing w:line="440" w:lineRule="exact"/>
              <w:jc w:val="center"/>
              <w:rPr>
                <w:rFonts w:hint="eastAsia" w:ascii="仿宋" w:hAnsi="仿宋" w:eastAsia="仿宋"/>
                <w:szCs w:val="21"/>
              </w:rPr>
            </w:pPr>
            <w:r>
              <w:rPr>
                <w:rFonts w:hint="eastAsia" w:ascii="仿宋" w:hAnsi="仿宋" w:eastAsia="仿宋" w:cs="宋体"/>
                <w:kern w:val="0"/>
                <w:szCs w:val="21"/>
              </w:rPr>
              <w:t>办公室</w:t>
            </w:r>
          </w:p>
        </w:tc>
        <w:tc>
          <w:tcPr>
            <w:tcW w:w="838" w:type="dxa"/>
            <w:vMerge w:val="restart"/>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841" w:type="dxa"/>
            <w:vMerge w:val="continue"/>
            <w:vAlign w:val="center"/>
          </w:tcPr>
          <w:p>
            <w:pPr>
              <w:jc w:val="center"/>
              <w:rPr>
                <w:rFonts w:hint="eastAsia" w:ascii="仿宋" w:hAnsi="仿宋" w:eastAsia="仿宋"/>
                <w:szCs w:val="21"/>
              </w:rPr>
            </w:pPr>
          </w:p>
        </w:tc>
        <w:tc>
          <w:tcPr>
            <w:tcW w:w="4820" w:type="dxa"/>
            <w:vMerge w:val="continue"/>
            <w:vAlign w:val="center"/>
          </w:tcPr>
          <w:p>
            <w:pPr>
              <w:widowControl/>
              <w:jc w:val="center"/>
              <w:rPr>
                <w:rFonts w:ascii="仿宋" w:hAnsi="仿宋" w:eastAsia="仿宋" w:cs="宋体"/>
                <w:kern w:val="0"/>
                <w:szCs w:val="21"/>
              </w:rPr>
            </w:pPr>
          </w:p>
        </w:tc>
        <w:tc>
          <w:tcPr>
            <w:tcW w:w="538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lang w:eastAsia="zh-CN"/>
              </w:rPr>
              <w:t>按有关规定对二手车交易市场进行监督管理</w:t>
            </w:r>
          </w:p>
        </w:tc>
        <w:tc>
          <w:tcPr>
            <w:tcW w:w="1418" w:type="dxa"/>
            <w:vAlign w:val="center"/>
          </w:tcPr>
          <w:p>
            <w:pPr>
              <w:spacing w:line="440" w:lineRule="exact"/>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第二中队</w:t>
            </w:r>
          </w:p>
        </w:tc>
        <w:tc>
          <w:tcPr>
            <w:tcW w:w="838" w:type="dxa"/>
            <w:vMerge w:val="continue"/>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1" w:type="dxa"/>
            <w:vMerge w:val="restart"/>
            <w:vAlign w:val="center"/>
          </w:tcPr>
          <w:p>
            <w:pPr>
              <w:jc w:val="center"/>
              <w:rPr>
                <w:rFonts w:hint="eastAsia" w:ascii="仿宋" w:hAnsi="仿宋" w:eastAsia="仿宋"/>
                <w:szCs w:val="21"/>
              </w:rPr>
            </w:pPr>
            <w:r>
              <w:rPr>
                <w:rFonts w:hint="eastAsia" w:ascii="仿宋" w:hAnsi="仿宋" w:eastAsia="仿宋"/>
                <w:szCs w:val="21"/>
              </w:rPr>
              <w:t>5</w:t>
            </w:r>
          </w:p>
        </w:tc>
        <w:tc>
          <w:tcPr>
            <w:tcW w:w="4820" w:type="dxa"/>
            <w:vMerge w:val="restart"/>
            <w:vAlign w:val="center"/>
          </w:tcPr>
          <w:p>
            <w:pPr>
              <w:autoSpaceDE w:val="0"/>
              <w:autoSpaceDN w:val="0"/>
              <w:adjustRightInd w:val="0"/>
              <w:ind w:firstLine="420" w:firstLineChars="200"/>
              <w:jc w:val="left"/>
              <w:rPr>
                <w:rFonts w:hint="eastAsia" w:ascii="仿宋" w:hAnsi="仿宋" w:eastAsia="仿宋" w:cs="宋体"/>
                <w:kern w:val="0"/>
                <w:szCs w:val="21"/>
              </w:rPr>
            </w:pPr>
          </w:p>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负责商务系统突发事件应对和应急管理工作。</w:t>
            </w:r>
          </w:p>
          <w:p>
            <w:pPr>
              <w:widowControl/>
              <w:jc w:val="center"/>
              <w:rPr>
                <w:rFonts w:ascii="仿宋" w:hAnsi="仿宋" w:eastAsia="仿宋" w:cs="宋体"/>
                <w:kern w:val="0"/>
                <w:szCs w:val="21"/>
              </w:rPr>
            </w:pPr>
          </w:p>
        </w:tc>
        <w:tc>
          <w:tcPr>
            <w:tcW w:w="5386" w:type="dxa"/>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承担重要消费品储备管理和市场调控有关工作，承担建立健全生活必需品市场供应应急管理机制相关工作，监测分析市场运行、商品供求状况，调查分析商品价格信息，负责市场预测预警和信息引导并提出市场运行及调控政策建议，负责商务系统突发事件应对和应急管理工作。</w:t>
            </w:r>
          </w:p>
          <w:p>
            <w:pPr>
              <w:widowControl/>
              <w:jc w:val="center"/>
              <w:rPr>
                <w:rFonts w:ascii="仿宋" w:hAnsi="仿宋" w:eastAsia="仿宋" w:cs="宋体"/>
                <w:kern w:val="0"/>
                <w:szCs w:val="21"/>
              </w:rPr>
            </w:pPr>
          </w:p>
        </w:tc>
        <w:tc>
          <w:tcPr>
            <w:tcW w:w="1418" w:type="dxa"/>
            <w:vAlign w:val="center"/>
          </w:tcPr>
          <w:p>
            <w:pPr>
              <w:autoSpaceDE w:val="0"/>
              <w:autoSpaceDN w:val="0"/>
              <w:adjustRightInd w:val="0"/>
              <w:jc w:val="center"/>
              <w:rPr>
                <w:rFonts w:ascii="仿宋" w:hAnsi="仿宋" w:eastAsia="仿宋" w:cs="宋体"/>
                <w:kern w:val="0"/>
                <w:szCs w:val="21"/>
              </w:rPr>
            </w:pPr>
            <w:r>
              <w:rPr>
                <w:rFonts w:hint="eastAsia" w:ascii="仿宋" w:hAnsi="仿宋" w:eastAsia="仿宋" w:cs="宋体"/>
                <w:kern w:val="0"/>
                <w:szCs w:val="21"/>
              </w:rPr>
              <w:t>办公室</w:t>
            </w:r>
          </w:p>
          <w:p>
            <w:pPr>
              <w:spacing w:line="440" w:lineRule="exact"/>
              <w:jc w:val="center"/>
              <w:rPr>
                <w:rFonts w:hint="eastAsia" w:ascii="仿宋" w:hAnsi="仿宋" w:eastAsia="仿宋"/>
                <w:szCs w:val="21"/>
              </w:rPr>
            </w:pP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1" w:type="dxa"/>
            <w:vMerge w:val="continue"/>
            <w:vAlign w:val="center"/>
          </w:tcPr>
          <w:p>
            <w:pPr>
              <w:jc w:val="center"/>
              <w:rPr>
                <w:rFonts w:hint="eastAsia" w:ascii="仿宋" w:hAnsi="仿宋" w:eastAsia="仿宋"/>
                <w:szCs w:val="21"/>
              </w:rPr>
            </w:pPr>
          </w:p>
        </w:tc>
        <w:tc>
          <w:tcPr>
            <w:tcW w:w="4820" w:type="dxa"/>
            <w:vMerge w:val="continue"/>
            <w:vAlign w:val="center"/>
          </w:tcPr>
          <w:p>
            <w:pPr>
              <w:autoSpaceDE w:val="0"/>
              <w:autoSpaceDN w:val="0"/>
              <w:adjustRightInd w:val="0"/>
              <w:jc w:val="left"/>
              <w:rPr>
                <w:rFonts w:hint="eastAsia" w:ascii="仿宋" w:hAnsi="仿宋" w:eastAsia="仿宋" w:cs="宋体"/>
                <w:kern w:val="0"/>
                <w:szCs w:val="21"/>
              </w:rPr>
            </w:pP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按有关规定对成品油流通进行监督管理；</w:t>
            </w:r>
            <w:r>
              <w:rPr>
                <w:rFonts w:ascii="仿宋" w:hAnsi="仿宋" w:eastAsia="仿宋" w:cs="宋体"/>
                <w:kern w:val="0"/>
                <w:szCs w:val="21"/>
              </w:rPr>
              <w:t xml:space="preserve"> </w:t>
            </w:r>
          </w:p>
        </w:tc>
        <w:tc>
          <w:tcPr>
            <w:tcW w:w="1418" w:type="dxa"/>
            <w:vAlign w:val="center"/>
          </w:tcPr>
          <w:p>
            <w:pPr>
              <w:autoSpaceDE w:val="0"/>
              <w:autoSpaceDN w:val="0"/>
              <w:adjustRightInd w:val="0"/>
              <w:jc w:val="center"/>
              <w:rPr>
                <w:rFonts w:ascii="仿宋" w:hAnsi="仿宋" w:eastAsia="仿宋" w:cs="宋体"/>
                <w:kern w:val="0"/>
                <w:szCs w:val="21"/>
              </w:rPr>
            </w:pPr>
            <w:r>
              <w:rPr>
                <w:rFonts w:hint="eastAsia" w:ascii="仿宋" w:hAnsi="仿宋" w:eastAsia="仿宋" w:cs="宋体"/>
                <w:kern w:val="0"/>
                <w:szCs w:val="21"/>
              </w:rPr>
              <w:t>第一中队</w:t>
            </w:r>
          </w:p>
          <w:p>
            <w:pPr>
              <w:autoSpaceDE w:val="0"/>
              <w:autoSpaceDN w:val="0"/>
              <w:adjustRightInd w:val="0"/>
              <w:jc w:val="center"/>
              <w:rPr>
                <w:rFonts w:hint="eastAsia" w:ascii="仿宋" w:hAnsi="仿宋" w:eastAsia="仿宋" w:cs="宋体"/>
                <w:kern w:val="0"/>
                <w:szCs w:val="21"/>
              </w:rPr>
            </w:pP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841" w:type="dxa"/>
            <w:vAlign w:val="center"/>
          </w:tcPr>
          <w:p>
            <w:pPr>
              <w:jc w:val="center"/>
              <w:rPr>
                <w:rFonts w:hint="eastAsia" w:ascii="仿宋" w:hAnsi="仿宋" w:eastAsia="仿宋"/>
                <w:szCs w:val="21"/>
              </w:rPr>
            </w:pPr>
            <w:r>
              <w:rPr>
                <w:rFonts w:hint="eastAsia" w:ascii="仿宋" w:hAnsi="仿宋" w:eastAsia="仿宋"/>
                <w:szCs w:val="21"/>
              </w:rPr>
              <w:t>6</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p>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拟订和推进全县科技兴贸战略，贯彻执行国家对外技术贸易、进出口管制以及鼓励技术和成套设备进出口的贸易政策；协助市商务局执行国家进出口管制政策。</w:t>
            </w:r>
          </w:p>
          <w:p>
            <w:pPr>
              <w:autoSpaceDE w:val="0"/>
              <w:autoSpaceDN w:val="0"/>
              <w:adjustRightInd w:val="0"/>
              <w:ind w:firstLine="420" w:firstLineChars="200"/>
              <w:jc w:val="left"/>
              <w:rPr>
                <w:rFonts w:hint="eastAsia" w:ascii="仿宋" w:hAnsi="仿宋" w:eastAsia="仿宋" w:cs="宋体"/>
                <w:kern w:val="0"/>
                <w:szCs w:val="21"/>
              </w:rPr>
            </w:pP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贯彻执行国家和省、市科技兴贸战略，拟订全县科技兴贸发展规划；负责协助市商务局执行国家进出口管制政策。</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841" w:type="dxa"/>
            <w:vAlign w:val="center"/>
          </w:tcPr>
          <w:p>
            <w:pPr>
              <w:jc w:val="center"/>
              <w:rPr>
                <w:rFonts w:hint="eastAsia" w:ascii="仿宋" w:hAnsi="仿宋" w:eastAsia="仿宋"/>
                <w:szCs w:val="21"/>
              </w:rPr>
            </w:pPr>
            <w:r>
              <w:rPr>
                <w:rFonts w:hint="eastAsia" w:ascii="仿宋" w:hAnsi="仿宋" w:eastAsia="仿宋"/>
                <w:szCs w:val="21"/>
              </w:rPr>
              <w:t>7</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p>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会同有关部门贯彻执行国家促进服务出口和服务外包发展的规划、政策，牵头拟订全县服务贸易发展规划并组织实施。</w:t>
            </w:r>
          </w:p>
          <w:p>
            <w:pPr>
              <w:autoSpaceDE w:val="0"/>
              <w:autoSpaceDN w:val="0"/>
              <w:adjustRightInd w:val="0"/>
              <w:ind w:firstLine="420" w:firstLineChars="200"/>
              <w:jc w:val="left"/>
              <w:rPr>
                <w:rFonts w:hint="eastAsia" w:ascii="仿宋" w:hAnsi="仿宋" w:eastAsia="仿宋" w:cs="宋体"/>
                <w:kern w:val="0"/>
                <w:szCs w:val="21"/>
              </w:rPr>
            </w:pP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会同有关方面拟定我县实施促进服务外包发展的政策措施，贯彻执行国家服务贸易政策和促进服务出口规划、政策，牵头拟订全县服务贸易发展规划并组织实施。</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8</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负责全县商务系统涉及世贸组织相关事务的严究、指导和服务工作，配合商务部、省商务厅、市商务局解决世贸组织框架下涉及我县的贸易争端，负责推进全县进出口贸易的标准化建设。</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负责承办商务部、省商务厅、市商务局和县政府交办的世贸组织相关工作；解决世贸组织框架下涉及我县的贸易争端，负责推进我县进出口贸易的标准化建设。</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jc w:val="center"/>
        </w:trPr>
        <w:tc>
          <w:tcPr>
            <w:tcW w:w="8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9</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承担组织协调反倾销、反补贴、保障措施及其他与进出口公平贸易相关工作的责任，建立进出口公平贸易预警机制；配合商务部和省商务厅、市商务局依法实施对外贸易调查和产业损害调查；指导协调产业安全应对工作及国外对我县出口商品的反倾销、反补贴、保障措施的应诉工作。</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承担协助商务部和省商务厅、市商务局对我县出口商品的反倾销、反补贴、保障措施的调查工作；建立进出口公平贸易预警机制；指导协调产业安全应对工作及国外对我县出口商品的反倾销、反补贴、保障措施的应诉工作。</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p>
            <w:pPr>
              <w:autoSpaceDE w:val="0"/>
              <w:autoSpaceDN w:val="0"/>
              <w:adjustRightInd w:val="0"/>
              <w:jc w:val="center"/>
              <w:rPr>
                <w:rFonts w:hint="eastAsia" w:ascii="仿宋" w:hAnsi="仿宋" w:eastAsia="仿宋" w:cs="宋体"/>
                <w:kern w:val="0"/>
                <w:szCs w:val="21"/>
              </w:rPr>
            </w:pP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8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10</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贯彻执行省和市制定的对香港、澳门特别行政区和台湾地区的经贸规划、政策。</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组织、指导我县与香港、澳门特别行政区和台湾地区的经贸交流与合作；管理和指导我县对台贸易，协调台商投资管理工作。</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8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11</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依法对经营者集中行为进行反垄断审查，指导企业在国外的反垄断应诉工作。</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依法对经营者集中行为进行反垄断审查，指导县内企业在国外的反垄断应诉工作。</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8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12</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指导监督以鸡泽县名义在境内举办的各种外经贸洽谈会和交易会、展览会、展销会等活动；拟订并实施赴境外举办上述活动的管理办法。</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指导工商企业参加国内举办的大型展览展销、经贸洽谈等活动，拟订并实施赴境外举办上述活动的管理办法。</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外贸科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841" w:type="dxa"/>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13</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负责全县商务工作新闻发布会、宣传工作和提供信息咨询服务；组织指导全市流通领域信息网络和电子商务建设。</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承担县电子商务工作协调领导小组办公室工作，拟订全县电子商务发展的相关政策措施并组织实施；建立完善商务信息公共服务体系；实施商务信息公共服务体系建</w:t>
            </w:r>
            <w:r>
              <w:rPr>
                <w:rFonts w:hint="eastAsia" w:ascii="仿宋" w:hAnsi="仿宋" w:eastAsia="仿宋" w:cs="宋体"/>
                <w:kern w:val="0"/>
                <w:szCs w:val="21"/>
                <w:lang w:eastAsia="zh-CN"/>
              </w:rPr>
              <w:t>设</w:t>
            </w:r>
          </w:p>
        </w:tc>
        <w:tc>
          <w:tcPr>
            <w:tcW w:w="1418" w:type="dxa"/>
            <w:vAlign w:val="center"/>
          </w:tcPr>
          <w:p>
            <w:pPr>
              <w:autoSpaceDE w:val="0"/>
              <w:autoSpaceDN w:val="0"/>
              <w:adjustRightInd w:val="0"/>
              <w:jc w:val="center"/>
              <w:rPr>
                <w:rFonts w:hint="eastAsia" w:ascii="仿宋" w:hAnsi="仿宋" w:eastAsia="仿宋" w:cs="宋体"/>
                <w:kern w:val="0"/>
                <w:szCs w:val="21"/>
                <w:lang w:eastAsia="zh-CN"/>
              </w:rPr>
            </w:pPr>
            <w:r>
              <w:rPr>
                <w:rFonts w:hint="eastAsia" w:ascii="仿宋" w:hAnsi="仿宋" w:eastAsia="仿宋" w:cs="宋体"/>
                <w:kern w:val="0"/>
                <w:szCs w:val="21"/>
                <w:lang w:eastAsia="zh-CN"/>
              </w:rPr>
              <w:t>办公室</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1" w:type="dxa"/>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14</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承办县委、县政府交办的其他事项；承办县人大、县政协建议、提案事宜。</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承办县委、县政府交办的其他事项；承办县人大、县政协建议、提案事宜。</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办公室</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15</w:t>
            </w:r>
          </w:p>
        </w:tc>
        <w:tc>
          <w:tcPr>
            <w:tcW w:w="4820" w:type="dxa"/>
            <w:vAlign w:val="center"/>
          </w:tcPr>
          <w:p>
            <w:pPr>
              <w:autoSpaceDE w:val="0"/>
              <w:autoSpaceDN w:val="0"/>
              <w:adjustRightInd w:val="0"/>
              <w:ind w:firstLine="420" w:firstLineChars="200"/>
              <w:jc w:val="left"/>
              <w:rPr>
                <w:rFonts w:ascii="仿宋" w:hAnsi="仿宋" w:eastAsia="仿宋" w:cs="宋体"/>
                <w:kern w:val="0"/>
                <w:szCs w:val="21"/>
              </w:rPr>
            </w:pPr>
            <w:r>
              <w:rPr>
                <w:rFonts w:hint="eastAsia" w:ascii="仿宋" w:hAnsi="仿宋" w:eastAsia="仿宋" w:cs="宋体"/>
                <w:kern w:val="0"/>
                <w:szCs w:val="21"/>
              </w:rPr>
              <w:t>负责管理鸡泽县市场服务建设服务中心。负责全县商务工作新闻发布会、宣传工作和提供信息咨询服务；组织指导全市流通领域信息网络和电子商务建设。</w:t>
            </w:r>
          </w:p>
          <w:p>
            <w:pPr>
              <w:autoSpaceDE w:val="0"/>
              <w:autoSpaceDN w:val="0"/>
              <w:adjustRightInd w:val="0"/>
              <w:ind w:firstLine="420" w:firstLineChars="200"/>
              <w:jc w:val="left"/>
              <w:rPr>
                <w:rFonts w:hint="eastAsia" w:ascii="仿宋" w:hAnsi="仿宋" w:eastAsia="仿宋" w:cs="宋体"/>
                <w:kern w:val="0"/>
                <w:szCs w:val="21"/>
              </w:rPr>
            </w:pP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hint="eastAsia" w:ascii="仿宋" w:hAnsi="仿宋" w:eastAsia="仿宋" w:cs="宋体"/>
                <w:kern w:val="0"/>
                <w:szCs w:val="21"/>
              </w:rPr>
              <w:t>负责市场建设服务中心职工安置的监督管理及稳定工作；配合有关部门协调解决市场建设服务中心改制中的有关问题。</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综合科</w:t>
            </w:r>
          </w:p>
        </w:tc>
        <w:tc>
          <w:tcPr>
            <w:tcW w:w="838" w:type="dxa"/>
            <w:vAlign w:val="center"/>
          </w:tcPr>
          <w:p>
            <w:pPr>
              <w:spacing w:line="44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1" w:type="dxa"/>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16</w:t>
            </w:r>
          </w:p>
        </w:tc>
        <w:tc>
          <w:tcPr>
            <w:tcW w:w="4820"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ascii="仿宋" w:hAnsi="仿宋" w:eastAsia="仿宋"/>
                <w:szCs w:val="21"/>
              </w:rPr>
              <w:t>规范家电维修服务业市场经营秩序，维护家电维修服务经营者和消费者的合法权益</w:t>
            </w:r>
            <w:r>
              <w:rPr>
                <w:rFonts w:hint="eastAsia" w:ascii="仿宋" w:hAnsi="仿宋" w:eastAsia="仿宋"/>
                <w:szCs w:val="21"/>
              </w:rPr>
              <w:t>。</w:t>
            </w:r>
          </w:p>
        </w:tc>
        <w:tc>
          <w:tcPr>
            <w:tcW w:w="5386" w:type="dxa"/>
            <w:vAlign w:val="center"/>
          </w:tcPr>
          <w:p>
            <w:pPr>
              <w:autoSpaceDE w:val="0"/>
              <w:autoSpaceDN w:val="0"/>
              <w:adjustRightInd w:val="0"/>
              <w:ind w:firstLine="420" w:firstLineChars="200"/>
              <w:jc w:val="left"/>
              <w:rPr>
                <w:rFonts w:hint="eastAsia" w:ascii="仿宋" w:hAnsi="仿宋" w:eastAsia="仿宋" w:cs="宋体"/>
                <w:kern w:val="0"/>
                <w:szCs w:val="21"/>
              </w:rPr>
            </w:pPr>
            <w:r>
              <w:rPr>
                <w:rFonts w:ascii="仿宋" w:hAnsi="仿宋" w:eastAsia="仿宋"/>
                <w:szCs w:val="21"/>
              </w:rPr>
              <w:t>负责本行政区域内的家电维修服务业的指导、协调和监督管理工作。</w:t>
            </w:r>
          </w:p>
        </w:tc>
        <w:tc>
          <w:tcPr>
            <w:tcW w:w="1418" w:type="dxa"/>
            <w:vAlign w:val="center"/>
          </w:tcPr>
          <w:p>
            <w:pPr>
              <w:autoSpaceDE w:val="0"/>
              <w:autoSpaceDN w:val="0"/>
              <w:adjustRightInd w:val="0"/>
              <w:jc w:val="center"/>
              <w:rPr>
                <w:rFonts w:hint="eastAsia" w:ascii="仿宋" w:hAnsi="仿宋" w:eastAsia="仿宋" w:cs="宋体"/>
                <w:kern w:val="0"/>
                <w:szCs w:val="21"/>
              </w:rPr>
            </w:pPr>
            <w:r>
              <w:rPr>
                <w:rFonts w:hint="eastAsia" w:ascii="仿宋" w:hAnsi="仿宋" w:eastAsia="仿宋" w:cs="宋体"/>
                <w:kern w:val="0"/>
                <w:szCs w:val="21"/>
              </w:rPr>
              <w:t>第二中队</w:t>
            </w:r>
          </w:p>
        </w:tc>
        <w:tc>
          <w:tcPr>
            <w:tcW w:w="838" w:type="dxa"/>
            <w:vAlign w:val="center"/>
          </w:tcPr>
          <w:p>
            <w:pPr>
              <w:spacing w:line="440" w:lineRule="exact"/>
              <w:jc w:val="center"/>
              <w:rPr>
                <w:rFonts w:hint="eastAsia" w:ascii="仿宋" w:hAnsi="仿宋" w:eastAsia="仿宋"/>
                <w:szCs w:val="21"/>
              </w:rPr>
            </w:pPr>
          </w:p>
        </w:tc>
      </w:tr>
    </w:tbl>
    <w:p>
      <w:pPr>
        <w:rPr>
          <w:rFonts w:hint="eastAsia" w:ascii="仿宋_GB2312" w:eastAsia="仿宋_GB2312"/>
          <w:sz w:val="24"/>
        </w:rPr>
      </w:pPr>
    </w:p>
    <w:p>
      <w:pPr>
        <w:rPr>
          <w:rFonts w:hint="eastAsia"/>
        </w:rPr>
      </w:pPr>
    </w:p>
    <w:p>
      <w:pPr>
        <w:spacing w:line="360" w:lineRule="exact"/>
        <w:jc w:val="both"/>
        <w:rPr>
          <w:rFonts w:hint="eastAsia" w:ascii="仿宋_GB2312" w:eastAsia="仿宋_GB2312"/>
          <w:b/>
          <w:sz w:val="32"/>
          <w:szCs w:val="32"/>
        </w:rPr>
      </w:pPr>
    </w:p>
    <w:p>
      <w:pPr>
        <w:spacing w:line="360" w:lineRule="exact"/>
        <w:jc w:val="center"/>
        <w:rPr>
          <w:rFonts w:ascii="仿宋_GB2312" w:eastAsia="仿宋_GB2312"/>
          <w:b/>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2098" w:right="1474" w:bottom="1985" w:left="1588" w:header="851" w:footer="992" w:gutter="0"/>
          <w:cols w:space="425" w:num="1"/>
          <w:docGrid w:type="lines" w:linePitch="312" w:charSpace="0"/>
        </w:sectPr>
      </w:pPr>
    </w:p>
    <w:p>
      <w:pPr>
        <w:autoSpaceDE w:val="0"/>
        <w:autoSpaceDN w:val="0"/>
        <w:adjustRightInd w:val="0"/>
        <w:jc w:val="center"/>
        <w:rPr>
          <w:rFonts w:hint="eastAsia" w:ascii="宋体" w:cs="宋体"/>
          <w:b/>
          <w:kern w:val="0"/>
          <w:sz w:val="44"/>
          <w:szCs w:val="44"/>
        </w:rPr>
      </w:pPr>
      <w:r>
        <w:rPr>
          <w:rFonts w:hint="eastAsia" w:ascii="宋体" w:cs="宋体"/>
          <w:b/>
          <w:kern w:val="0"/>
          <w:sz w:val="44"/>
          <w:szCs w:val="44"/>
        </w:rPr>
        <w:t>事中事后监管制度</w:t>
      </w:r>
    </w:p>
    <w:p>
      <w:pPr>
        <w:autoSpaceDE w:val="0"/>
        <w:autoSpaceDN w:val="0"/>
        <w:adjustRightInd w:val="0"/>
        <w:jc w:val="center"/>
        <w:rPr>
          <w:rFonts w:hint="eastAsia" w:ascii="宋体" w:cs="宋体"/>
          <w:b/>
          <w:kern w:val="0"/>
          <w:sz w:val="44"/>
          <w:szCs w:val="44"/>
        </w:rPr>
      </w:pPr>
    </w:p>
    <w:p>
      <w:pPr>
        <w:autoSpaceDE w:val="0"/>
        <w:autoSpaceDN w:val="0"/>
        <w:adjustRightInd w:val="0"/>
        <w:jc w:val="center"/>
        <w:rPr>
          <w:rFonts w:ascii="宋体" w:cs="宋体"/>
          <w:b/>
          <w:kern w:val="0"/>
          <w:sz w:val="44"/>
          <w:szCs w:val="44"/>
        </w:rPr>
      </w:pPr>
    </w:p>
    <w:p>
      <w:pPr>
        <w:autoSpaceDE w:val="0"/>
        <w:autoSpaceDN w:val="0"/>
        <w:adjustRightInd w:val="0"/>
        <w:jc w:val="left"/>
        <w:rPr>
          <w:rFonts w:ascii="楷体" w:hAnsi="楷体" w:eastAsia="楷体" w:cs="仿宋_GB2312"/>
          <w:b/>
          <w:kern w:val="0"/>
          <w:sz w:val="32"/>
          <w:szCs w:val="32"/>
        </w:rPr>
      </w:pPr>
      <w:r>
        <w:rPr>
          <w:rFonts w:ascii="楷体" w:hAnsi="楷体" w:eastAsia="楷体" w:cs="仿宋_GB2312"/>
          <w:b/>
          <w:kern w:val="0"/>
          <w:sz w:val="32"/>
          <w:szCs w:val="32"/>
        </w:rPr>
        <w:t>(</w:t>
      </w:r>
      <w:r>
        <w:rPr>
          <w:rFonts w:hint="eastAsia" w:ascii="楷体" w:hAnsi="楷体" w:eastAsia="楷体" w:cs="仿宋_GB2312"/>
          <w:b/>
          <w:kern w:val="0"/>
          <w:sz w:val="32"/>
          <w:szCs w:val="32"/>
        </w:rPr>
        <w:t>一</w:t>
      </w:r>
      <w:r>
        <w:rPr>
          <w:rFonts w:ascii="楷体" w:hAnsi="楷体" w:eastAsia="楷体" w:cs="仿宋_GB2312"/>
          <w:b/>
          <w:kern w:val="0"/>
          <w:sz w:val="32"/>
          <w:szCs w:val="32"/>
        </w:rPr>
        <w:t>)</w:t>
      </w:r>
      <w:r>
        <w:rPr>
          <w:rFonts w:hint="eastAsia" w:ascii="楷体" w:hAnsi="楷体" w:eastAsia="楷体" w:cs="仿宋_GB2312"/>
          <w:b/>
          <w:kern w:val="0"/>
          <w:sz w:val="32"/>
          <w:szCs w:val="32"/>
        </w:rPr>
        <w:t>成品油经营企业事项监管</w:t>
      </w:r>
    </w:p>
    <w:p>
      <w:pPr>
        <w:autoSpaceDE w:val="0"/>
        <w:autoSpaceDN w:val="0"/>
        <w:adjustRightInd w:val="0"/>
        <w:jc w:val="left"/>
        <w:rPr>
          <w:rFonts w:ascii="楷体" w:hAnsi="楷体" w:eastAsia="楷体" w:cs="仿宋_GB2312"/>
          <w:b/>
          <w:kern w:val="0"/>
          <w:sz w:val="32"/>
          <w:szCs w:val="32"/>
        </w:rPr>
      </w:pPr>
      <w:r>
        <w:rPr>
          <w:rFonts w:ascii="楷体" w:hAnsi="楷体" w:eastAsia="楷体" w:cs="仿宋_GB2312"/>
          <w:b/>
          <w:kern w:val="0"/>
          <w:sz w:val="32"/>
          <w:szCs w:val="32"/>
        </w:rPr>
        <w:t>(</w:t>
      </w:r>
      <w:r>
        <w:rPr>
          <w:rFonts w:hint="eastAsia" w:ascii="楷体" w:hAnsi="楷体" w:eastAsia="楷体" w:cs="仿宋_GB2312"/>
          <w:b/>
          <w:kern w:val="0"/>
          <w:sz w:val="32"/>
          <w:szCs w:val="32"/>
        </w:rPr>
        <w:t>二</w:t>
      </w:r>
      <w:r>
        <w:rPr>
          <w:rFonts w:ascii="楷体" w:hAnsi="楷体" w:eastAsia="楷体" w:cs="仿宋_GB2312"/>
          <w:b/>
          <w:kern w:val="0"/>
          <w:sz w:val="32"/>
          <w:szCs w:val="32"/>
        </w:rPr>
        <w:t>)</w:t>
      </w:r>
      <w:r>
        <w:rPr>
          <w:rFonts w:hint="eastAsia" w:ascii="楷体" w:hAnsi="楷体" w:eastAsia="楷体" w:cs="仿宋_GB2312"/>
          <w:b/>
          <w:kern w:val="0"/>
          <w:sz w:val="32"/>
          <w:szCs w:val="32"/>
        </w:rPr>
        <w:t>单用途商业预付卡事项监管</w:t>
      </w:r>
    </w:p>
    <w:p>
      <w:pPr>
        <w:rPr>
          <w:rFonts w:hint="eastAsia" w:ascii="楷体" w:hAnsi="楷体" w:eastAsia="楷体"/>
          <w:b/>
        </w:rPr>
      </w:pPr>
    </w:p>
    <w:p>
      <w:pPr>
        <w:rPr>
          <w:rFonts w:hint="eastAsia"/>
        </w:rPr>
      </w:pPr>
    </w:p>
    <w:p>
      <w:pPr>
        <w:rPr>
          <w:rFonts w:hint="eastAsia"/>
        </w:rPr>
      </w:pPr>
    </w:p>
    <w:p>
      <w:pPr>
        <w:rPr>
          <w:rFonts w:hint="eastAsia"/>
        </w:rPr>
      </w:pPr>
    </w:p>
    <w:p>
      <w:pPr>
        <w:rPr>
          <w:rFonts w:hint="eastAsia" w:eastAsia="宋体"/>
          <w:lang w:val="en-US" w:eastAsia="zh-CN"/>
        </w:rPr>
      </w:pPr>
      <w:r>
        <w:rPr>
          <w:rFonts w:hint="eastAsia"/>
          <w:lang w:val="en-US" w:eastAsia="zh-CN"/>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adjustRightInd w:val="0"/>
        <w:jc w:val="center"/>
        <w:rPr>
          <w:rFonts w:hint="eastAsia" w:ascii="黑体" w:hAnsi="黑体" w:eastAsia="黑体" w:cs="宋体"/>
          <w:b/>
          <w:kern w:val="0"/>
          <w:szCs w:val="21"/>
        </w:rPr>
      </w:pPr>
      <w:r>
        <w:rPr>
          <w:rFonts w:hint="eastAsia" w:ascii="黑体" w:hAnsi="黑体" w:eastAsia="黑体" w:cs="宋体"/>
          <w:b/>
          <w:kern w:val="0"/>
          <w:sz w:val="44"/>
          <w:szCs w:val="44"/>
        </w:rPr>
        <w:t>（一）成品油经营企业事项监管</w:t>
      </w:r>
    </w:p>
    <w:p>
      <w:pPr>
        <w:autoSpaceDE w:val="0"/>
        <w:autoSpaceDN w:val="0"/>
        <w:adjustRightInd w:val="0"/>
        <w:jc w:val="both"/>
        <w:rPr>
          <w:rFonts w:ascii="黑体" w:hAnsi="黑体" w:eastAsia="黑体" w:cs="宋体"/>
          <w:b/>
          <w:kern w:val="0"/>
          <w:szCs w:val="21"/>
        </w:rPr>
      </w:pP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为了规范成品油经营企业的市场秩序，按照商务部《成品油市场管理办法》，特制定如下监管制度：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鸡泽县县域内从事成品油经营活动的企业。</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二、监督检查内容和指标</w:t>
      </w:r>
    </w:p>
    <w:p>
      <w:pPr>
        <w:autoSpaceDE w:val="0"/>
        <w:autoSpaceDN w:val="0"/>
        <w:adjustRightInd w:val="0"/>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、对被检查人成品油相关资质、证照手续情况进行监督检查；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、对被检查人成品油购销情况、供油协议进行监督检查；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、对被检查人成品油检验、计量、消防、安全生产等专业技术人员的资格情况进行监督检查；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、对被检查人油品提升实施情况进行监督检查；</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、对加油站成品油灌装零售相关规定落实情况进行监督检查。</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（一）针对成品油经营企业开展日常执法检查；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（二）针对隐患大的成品油灌装零售组织专项执法检查；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（三）根据公众投诉、举报，组织开展重点执法检查。</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（一）根据上级部署、群众举报、社会关注等情况制定成品油企业监督检查实施方案；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（二）局指定两名以上执法人员参加监督检查；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（三）监督检查人员向被检查人出示有效行政执法证件，说明来意，告知其享有的合法权利和应当履行的法定义务；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（四）监督检查人员对被检查人履行成品油市场管理办法实施情况逐项检查并制作现场检查（勘验）笔录，交当事人确认签字；被检查单位的有关负责人拒绝签字的，执法人员应当将情况记录在案。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（五）发现被检查人存在违反成品油市场管理法律法规的行为，制作《责令改正违法行为通知书》。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五、监督检查措施及处理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（一）发现被检查人有成品油管理违法情形的，除责令限期改停止违法行为；</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（二）对监督抽查不合格的油品、加油机具依法实施查封、扣押；</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（三）对成品油经营领域违法行为予以立案查处，依法作出行政处罚决定；</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（四）发现被检查人涉嫌犯罪的，及时移送公安机关；</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（五）依照相关法律法规要求，及时向社会公布案件查处信息。</w:t>
      </w:r>
    </w:p>
    <w:p>
      <w:pPr>
        <w:autoSpaceDE w:val="0"/>
        <w:autoSpaceDN w:val="0"/>
        <w:adjustRightInd w:val="0"/>
        <w:jc w:val="center"/>
        <w:rPr>
          <w:rFonts w:ascii="黑体" w:hAnsi="黑体" w:eastAsia="黑体" w:cs="宋体"/>
          <w:b/>
          <w:kern w:val="0"/>
          <w:sz w:val="44"/>
          <w:szCs w:val="44"/>
        </w:rPr>
      </w:pPr>
      <w:r>
        <w:rPr>
          <w:rFonts w:hint="eastAsia" w:ascii="黑体" w:hAnsi="黑体" w:eastAsia="黑体" w:cs="宋体"/>
          <w:b/>
          <w:kern w:val="0"/>
          <w:sz w:val="44"/>
          <w:szCs w:val="44"/>
        </w:rPr>
        <w:t>（二）单用途商业预付卡事项监管</w:t>
      </w:r>
    </w:p>
    <w:p>
      <w:pPr>
        <w:autoSpaceDE w:val="0"/>
        <w:autoSpaceDN w:val="0"/>
        <w:adjustRightInd w:val="0"/>
        <w:jc w:val="left"/>
        <w:rPr>
          <w:rFonts w:ascii="仿宋" w:hAnsi="仿宋" w:eastAsia="仿宋" w:cs="仿宋_GB2312"/>
          <w:kern w:val="0"/>
          <w:sz w:val="32"/>
          <w:szCs w:val="32"/>
        </w:rPr>
      </w:pP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为了加强单用途商业预付卡管理，维护当事人合法权益，防范资金风险，特制定如下监管制度：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鸡泽县县域内从事零售业、住宿和餐饮业、居民服务业并发放单用途商业预付卡的企业法人。</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二、监督检查内容和指标</w:t>
      </w:r>
    </w:p>
    <w:p>
      <w:pPr>
        <w:autoSpaceDE w:val="0"/>
        <w:autoSpaceDN w:val="0"/>
        <w:adjustRightInd w:val="0"/>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、检查单用途商业预付卡备案表、购卡章程、协议及资金管理制度等情况。</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、检查单用途商业预付卡购买登记情况、购呀方式、购卡限额、退卡等操作程序执行情况</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、检查发卡企业预收资金用途、预收资金余额比例、资金存管制度、资金存管协议与帐户情况。</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（一）针对单用途预付卡发卡企业开展日常执法检查；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（二）根据上级部门工作部署组织专项执法检查；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（三）根据公众投诉、举报，组织开展重点执法检查。</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（一）局根据上级部署、群众举报、社会关注等情况制定单用途预付卡监督检查实施方案；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（二）局指定三名以上执法人员参加监督检查；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（三）监督检查人员向被检查人出示有效行政执法证件，说明来意，告知其享有的合法权利和应当履行的法定义务；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（四）监督检查人员对被检查人履行单用途商业预付卡管理办法实施情况逐项检查并制作现场检查（勘验）笔录，交当事人确认签字；被检查单位的有关负责人拒绝签字的，执法人员应当将情况记录在案。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（五）发现被检查人存在违反单用途商业预付卡管理法律法规的行为，制作《责令改正违法行为通知书》。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五、监督检查措施及处理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（一）发现被检查人有单用途商业预付卡管理违法情形</w:t>
      </w:r>
    </w:p>
    <w:p>
      <w:pPr>
        <w:autoSpaceDE w:val="0"/>
        <w:autoSpaceDN w:val="0"/>
        <w:adjustRightInd w:val="0"/>
        <w:jc w:val="left"/>
        <w:rPr>
          <w:rFonts w:ascii="仿宋" w:hAnsi="仿宋" w:eastAsia="仿宋" w:cs="仿宋_GB2312"/>
          <w:kern w:val="0"/>
          <w:sz w:val="32"/>
          <w:szCs w:val="32"/>
        </w:rPr>
      </w:pPr>
      <w:r>
        <w:rPr>
          <w:rFonts w:hint="eastAsia" w:ascii="仿宋" w:hAnsi="仿宋" w:eastAsia="仿宋" w:cs="仿宋_GB2312"/>
          <w:kern w:val="0"/>
          <w:sz w:val="32"/>
          <w:szCs w:val="32"/>
        </w:rPr>
        <w:t>的，除责令限期改正外，应当依法采取补救措施；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（二）对单用途商业预付卡管理领域违法行为予以立案查处，依法作出行政处罚决定；</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（三）发现被检查人涉嫌犯罪的，及时移送公安机关；</w:t>
      </w:r>
    </w:p>
    <w:p>
      <w:pPr>
        <w:autoSpaceDE w:val="0"/>
        <w:autoSpaceDN w:val="0"/>
        <w:adjustRightInd w:val="0"/>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（四）依照相关法律法规要求，及时向社会公布案件查处信息。</w:t>
      </w:r>
    </w:p>
    <w:p>
      <w:pPr>
        <w:autoSpaceDE w:val="0"/>
        <w:autoSpaceDN w:val="0"/>
        <w:adjustRightInd w:val="0"/>
        <w:ind w:firstLine="640" w:firstLineChars="200"/>
        <w:jc w:val="left"/>
        <w:rPr>
          <w:rFonts w:hint="eastAsia" w:ascii="仿宋" w:hAnsi="仿宋" w:eastAsia="仿宋" w:cs="仿宋_GB2312"/>
          <w:kern w:val="0"/>
          <w:sz w:val="32"/>
          <w:szCs w:val="32"/>
        </w:rPr>
      </w:pPr>
    </w:p>
    <w:p>
      <w:pPr>
        <w:autoSpaceDE w:val="0"/>
        <w:autoSpaceDN w:val="0"/>
        <w:adjustRightInd w:val="0"/>
        <w:ind w:firstLine="640" w:firstLineChars="200"/>
        <w:jc w:val="left"/>
        <w:rPr>
          <w:rFonts w:hint="eastAsia" w:ascii="仿宋" w:hAnsi="仿宋" w:eastAsia="仿宋" w:cs="仿宋_GB2312"/>
          <w:kern w:val="0"/>
          <w:sz w:val="32"/>
          <w:szCs w:val="32"/>
        </w:rPr>
      </w:pPr>
    </w:p>
    <w:p>
      <w:pPr>
        <w:autoSpaceDE w:val="0"/>
        <w:autoSpaceDN w:val="0"/>
        <w:adjustRightInd w:val="0"/>
        <w:ind w:firstLine="640" w:firstLineChars="200"/>
        <w:jc w:val="left"/>
        <w:rPr>
          <w:rFonts w:hint="eastAsia" w:ascii="仿宋" w:hAnsi="仿宋" w:eastAsia="仿宋" w:cs="仿宋_GB2312"/>
          <w:kern w:val="0"/>
          <w:sz w:val="32"/>
          <w:szCs w:val="32"/>
        </w:rPr>
      </w:pPr>
    </w:p>
    <w:p>
      <w:pPr>
        <w:autoSpaceDE w:val="0"/>
        <w:autoSpaceDN w:val="0"/>
        <w:adjustRightInd w:val="0"/>
        <w:jc w:val="left"/>
        <w:rPr>
          <w:rFonts w:ascii="仿宋" w:hAnsi="仿宋" w:eastAsia="仿宋" w:cs="仿宋_GB2312"/>
          <w:kern w:val="0"/>
          <w:sz w:val="32"/>
          <w:szCs w:val="32"/>
        </w:rPr>
      </w:pPr>
    </w:p>
    <w:p>
      <w:pPr>
        <w:autoSpaceDE w:val="0"/>
        <w:autoSpaceDN w:val="0"/>
        <w:adjustRightInd w:val="0"/>
        <w:ind w:firstLine="883" w:firstLineChars="200"/>
        <w:jc w:val="center"/>
        <w:rPr>
          <w:rFonts w:hint="eastAsia" w:ascii="黑体" w:hAnsi="黑体" w:eastAsia="黑体" w:cs="宋体"/>
          <w:b/>
          <w:kern w:val="0"/>
          <w:sz w:val="44"/>
          <w:szCs w:val="44"/>
        </w:rPr>
      </w:pPr>
      <w:r>
        <w:rPr>
          <w:rFonts w:hint="eastAsia" w:ascii="黑体" w:hAnsi="黑体" w:eastAsia="黑体" w:cs="宋体"/>
          <w:b/>
          <w:kern w:val="0"/>
          <w:sz w:val="44"/>
          <w:szCs w:val="44"/>
        </w:rPr>
        <w:t>（三）酒类流通企业事项监管</w:t>
      </w:r>
    </w:p>
    <w:p>
      <w:pPr>
        <w:autoSpaceDE w:val="0"/>
        <w:autoSpaceDN w:val="0"/>
        <w:adjustRightInd w:val="0"/>
        <w:ind w:firstLine="883" w:firstLineChars="200"/>
        <w:jc w:val="center"/>
        <w:rPr>
          <w:rFonts w:ascii="黑体" w:hAnsi="黑体" w:eastAsia="黑体" w:cs="宋体"/>
          <w:b/>
          <w:kern w:val="0"/>
          <w:sz w:val="44"/>
          <w:szCs w:val="44"/>
        </w:rPr>
      </w:pP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为了规范酒类流通秩序，促进酒类市场有序发展，保护酒类生产者、经营者和消费者的合法权益，特制定如下监管制度：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一、监督检查对象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鸡泽县县域内从事酒类批发、零售、储运等经营活动的单位或个人（以下统称酒类经营者）。</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二、监督检查内容和指标</w:t>
      </w:r>
    </w:p>
    <w:p>
      <w:pPr>
        <w:autoSpaceDE w:val="0"/>
        <w:autoSpaceDN w:val="0"/>
        <w:adjustRightInd w:val="0"/>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（一）监督检查内容</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、对酒类经营者备案登记情况进行监督检，检查经营企业营业执照、《酒类流通备案登记表》，查看《登记表》内容是否发生变更。</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、对酒类经营者经营活动情况进行监督检查，检查《酒类流通随附单》是否填写规范、购销台账是否健全、酒类储运是否符合要求等。</w:t>
      </w:r>
    </w:p>
    <w:p>
      <w:pPr>
        <w:autoSpaceDE w:val="0"/>
        <w:autoSpaceDN w:val="0"/>
        <w:adjustRightInd w:val="0"/>
        <w:ind w:firstLine="643" w:firstLineChars="200"/>
        <w:jc w:val="left"/>
        <w:rPr>
          <w:rFonts w:ascii="楷体" w:hAnsi="楷体" w:eastAsia="楷体" w:cs="仿宋_GB2312"/>
          <w:b/>
          <w:kern w:val="0"/>
          <w:sz w:val="32"/>
          <w:szCs w:val="32"/>
        </w:rPr>
      </w:pPr>
      <w:r>
        <w:rPr>
          <w:rFonts w:hint="eastAsia" w:ascii="楷体" w:hAnsi="楷体" w:eastAsia="楷体" w:cs="仿宋_GB2312"/>
          <w:b/>
          <w:kern w:val="0"/>
          <w:sz w:val="32"/>
          <w:szCs w:val="32"/>
        </w:rPr>
        <w:t>（二）监督检查指标</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、日常督查：每季度组织一次定期抽查，每次抽查不少于</w:t>
      </w:r>
      <w:r>
        <w:rPr>
          <w:rFonts w:ascii="仿宋" w:hAnsi="仿宋" w:eastAsia="仿宋" w:cs="仿宋_GB2312"/>
          <w:kern w:val="0"/>
          <w:sz w:val="32"/>
          <w:szCs w:val="32"/>
        </w:rPr>
        <w:t xml:space="preserve">3 </w:t>
      </w:r>
      <w:r>
        <w:rPr>
          <w:rFonts w:hint="eastAsia" w:ascii="仿宋" w:hAnsi="仿宋" w:eastAsia="仿宋" w:cs="仿宋_GB2312"/>
          <w:kern w:val="0"/>
          <w:sz w:val="32"/>
          <w:szCs w:val="32"/>
        </w:rPr>
        <w:t>家单位。</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、专项督查：每年不少于</w:t>
      </w:r>
      <w:r>
        <w:rPr>
          <w:rFonts w:ascii="仿宋" w:hAnsi="仿宋" w:eastAsia="仿宋" w:cs="仿宋_GB2312"/>
          <w:kern w:val="0"/>
          <w:sz w:val="32"/>
          <w:szCs w:val="32"/>
        </w:rPr>
        <w:t xml:space="preserve">1 </w:t>
      </w:r>
      <w:r>
        <w:rPr>
          <w:rFonts w:hint="eastAsia" w:ascii="仿宋" w:hAnsi="仿宋" w:eastAsia="仿宋" w:cs="仿宋_GB2312"/>
          <w:kern w:val="0"/>
          <w:sz w:val="32"/>
          <w:szCs w:val="32"/>
        </w:rPr>
        <w:t>次，抽查面不少于</w:t>
      </w:r>
      <w:r>
        <w:rPr>
          <w:rFonts w:ascii="仿宋" w:hAnsi="仿宋" w:eastAsia="仿宋" w:cs="仿宋_GB2312"/>
          <w:kern w:val="0"/>
          <w:sz w:val="32"/>
          <w:szCs w:val="32"/>
        </w:rPr>
        <w:t>10%</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、根据上级要求和群众举报开展不定期检查。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上述指标与上级下达监督检查指标不一致的，以上级下达监督检查指标为准</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三、监督检查方式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（一）针对酒类经营者开展日常执法检查；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（二）根据上级部门工作部署组织专项执法检查；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（三）根据公众投诉、举报，组织开展重点执法检查。</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四、监督检查程序</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（一）县商务局第二中队根据上级部署、群众举报、社会关注等情况制定酒类流通监督检查实施方案；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（二）县商务局第二中队两名以上执法人员参加监督检查，局其他相关执法机构指定一至二名以上执法人员协助开展监督检查。</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（三）监督检查人员向被检查人出示有效行政执法证件，说明来意，告知其享有的合法权利和应当履行的法定义务；</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（四）监督检查人员对被检查人履行酒类流通管理办法实施情况逐项检查并制作现场检查（勘验）笔录，交当事人确认签字；被检查单位的有关负责人拒绝签字的，执法人员应当将情况记录在案。</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（五）发现被检查人存在违反酒类流通管理法律法规的行为，制作《责令改正违法行为通知书》。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五、监督检查措施及处理</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（一）发现被检查人有酒类流通管理违法情形的，除责令限期改正外，应当依法采取补救措施；</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（二）对酒类流通管理领域违法行为予以立案查处，依法作出行政处罚决定；</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（三）发现被检查人涉嫌犯罪的，及时移送公安机关；</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（四）依照相关法律法规要求，及时向社会公布案件查处。</w:t>
      </w:r>
    </w:p>
    <w:p>
      <w:pPr>
        <w:rPr>
          <w:rFonts w:ascii="仿宋" w:hAnsi="仿宋" w:eastAsia="仿宋"/>
          <w:sz w:val="32"/>
          <w:szCs w:val="32"/>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2961"/>
    <w:multiLevelType w:val="multilevel"/>
    <w:tmpl w:val="4ECF2961"/>
    <w:lvl w:ilvl="0" w:tentative="0">
      <w:start w:val="1"/>
      <w:numFmt w:val="japaneseCounting"/>
      <w:lvlText w:val="%1、"/>
      <w:lvlJc w:val="left"/>
      <w:pPr>
        <w:tabs>
          <w:tab w:val="left" w:pos="810"/>
        </w:tabs>
        <w:ind w:left="810" w:hanging="8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114CF"/>
    <w:rsid w:val="1B4148FA"/>
    <w:rsid w:val="28A502C5"/>
    <w:rsid w:val="6F495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守候じ☆ve</cp:lastModifiedBy>
  <dcterms:modified xsi:type="dcterms:W3CDTF">2017-11-23T02:28:47Z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