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一、适用范围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    适用于事业单位法人注销登记的申请和办理。　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二、办事条件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   （一）申请事业单位法人注销登记应当符合以下情形之一：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1、举办单位决定解散；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2、因合并、分立解散；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3、依照法律、法规和本单位章程，自行决定解散；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4、行政机关依照法律、行政法规责令撤销；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5、事业单位法人登记依法被撤销，或者事业单位法人证书依法被吊销；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6、法律、法规规定的应当注销登记的其他情形。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（二）准予注销登记的条件：符合应当申请注销登记的情形，且提交的申请材料齐全有效、符合法律规定。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B6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